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E82A" w14:textId="77777777" w:rsidR="002C1E66" w:rsidRPr="00933C95" w:rsidRDefault="00DC1F14" w:rsidP="002C1E66">
      <w:pPr>
        <w:pStyle w:val="BodyText"/>
        <w:spacing w:after="0" w:line="240" w:lineRule="auto"/>
      </w:pPr>
      <w:bookmarkStart w:id="0" w:name="bookmark0"/>
      <w:bookmarkStart w:id="1" w:name="bookmark1"/>
      <w:bookmarkStart w:id="2" w:name="bookmark2"/>
      <w:r>
        <w:rPr>
          <w:noProof/>
          <w:lang w:val="es-UY" w:eastAsia="es-UY" w:bidi="ar-SA"/>
        </w:rPr>
        <mc:AlternateContent>
          <mc:Choice Requires="wps">
            <w:drawing>
              <wp:anchor distT="250190" distB="115570" distL="0" distR="0" simplePos="0" relativeHeight="251659264" behindDoc="1" locked="0" layoutInCell="1" allowOverlap="1" wp14:anchorId="23F248EF" wp14:editId="20E4BD9C">
                <wp:simplePos x="0" y="0"/>
                <wp:positionH relativeFrom="page">
                  <wp:posOffset>1596390</wp:posOffset>
                </wp:positionH>
                <wp:positionV relativeFrom="paragraph">
                  <wp:posOffset>398780</wp:posOffset>
                </wp:positionV>
                <wp:extent cx="5177790" cy="3602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177790" cy="3602990"/>
                        </a:xfrm>
                        <a:prstGeom prst="rect">
                          <a:avLst/>
                        </a:prstGeom>
                        <a:noFill/>
                      </wps:spPr>
                      <wps:txbx>
                        <w:txbxContent>
                          <w:tbl>
                            <w:tblPr>
                              <w:tblOverlap w:val="never"/>
                              <w:tblW w:w="0" w:type="auto"/>
                              <w:tblInd w:w="851" w:type="dxa"/>
                              <w:tblLayout w:type="fixed"/>
                              <w:tblCellMar>
                                <w:left w:w="10" w:type="dxa"/>
                                <w:right w:w="10" w:type="dxa"/>
                              </w:tblCellMar>
                              <w:tblLook w:val="0000" w:firstRow="0" w:lastRow="0" w:firstColumn="0" w:lastColumn="0" w:noHBand="0" w:noVBand="0"/>
                            </w:tblPr>
                            <w:tblGrid>
                              <w:gridCol w:w="2121"/>
                              <w:gridCol w:w="1418"/>
                              <w:gridCol w:w="1559"/>
                              <w:gridCol w:w="1564"/>
                            </w:tblGrid>
                            <w:tr w:rsidR="002C1E66" w14:paraId="357E1BF7" w14:textId="77777777" w:rsidTr="00BD5A41">
                              <w:trPr>
                                <w:tblHeader/>
                              </w:trPr>
                              <w:tc>
                                <w:tcPr>
                                  <w:tcW w:w="2121" w:type="dxa"/>
                                  <w:vMerge w:val="restart"/>
                                  <w:shd w:val="clear" w:color="auto" w:fill="auto"/>
                                </w:tcPr>
                                <w:p w14:paraId="568373A7" w14:textId="77777777" w:rsidR="002C1E66" w:rsidRDefault="002C1E66" w:rsidP="00663350">
                                  <w:pPr>
                                    <w:pStyle w:val="Other0"/>
                                    <w:spacing w:after="120" w:line="300" w:lineRule="auto"/>
                                    <w:jc w:val="right"/>
                                  </w:pPr>
                                  <w:r>
                                    <w:rPr>
                                      <w:color w:val="516177"/>
                                    </w:rPr>
                                    <w:t>Origen</w:t>
                                  </w:r>
                                </w:p>
                                <w:p w14:paraId="0BF8C196" w14:textId="77777777" w:rsidR="002C1E66" w:rsidRDefault="002C1E66" w:rsidP="00663350">
                                  <w:pPr>
                                    <w:pStyle w:val="Other0"/>
                                    <w:spacing w:after="120" w:line="300" w:lineRule="auto"/>
                                    <w:jc w:val="right"/>
                                  </w:pPr>
                                  <w:r>
                                    <w:rPr>
                                      <w:color w:val="516177"/>
                                    </w:rPr>
                                    <w:t>Aprobado</w:t>
                                  </w:r>
                                </w:p>
                                <w:p w14:paraId="61274AE4" w14:textId="77777777" w:rsidR="002C1E66" w:rsidRDefault="002C1E66" w:rsidP="00663350">
                                  <w:pPr>
                                    <w:pStyle w:val="Other0"/>
                                    <w:spacing w:after="120" w:line="300" w:lineRule="auto"/>
                                    <w:jc w:val="right"/>
                                  </w:pPr>
                                  <w:r>
                                    <w:rPr>
                                      <w:color w:val="516177"/>
                                    </w:rPr>
                                    <w:t>Última revisión</w:t>
                                  </w:r>
                                </w:p>
                                <w:p w14:paraId="3B70FDE5" w14:textId="77777777" w:rsidR="002C1E66" w:rsidRDefault="002C1E66" w:rsidP="00663350">
                                  <w:pPr>
                                    <w:pStyle w:val="Other0"/>
                                    <w:spacing w:after="120" w:line="300" w:lineRule="auto"/>
                                    <w:jc w:val="right"/>
                                  </w:pPr>
                                  <w:r>
                                    <w:rPr>
                                      <w:color w:val="516177"/>
                                    </w:rPr>
                                    <w:t>Próxima revisión</w:t>
                                  </w:r>
                                </w:p>
                              </w:tc>
                              <w:tc>
                                <w:tcPr>
                                  <w:tcW w:w="1418" w:type="dxa"/>
                                  <w:vMerge w:val="restart"/>
                                  <w:tcBorders>
                                    <w:right w:val="single" w:sz="12" w:space="0" w:color="A6A6A6" w:themeColor="background1" w:themeShade="A6"/>
                                  </w:tcBorders>
                                  <w:shd w:val="clear" w:color="auto" w:fill="auto"/>
                                </w:tcPr>
                                <w:p w14:paraId="78C917B3" w14:textId="77777777" w:rsidR="002C1E66" w:rsidRDefault="002C1E66" w:rsidP="00663350">
                                  <w:pPr>
                                    <w:pStyle w:val="Other0"/>
                                    <w:spacing w:after="120" w:line="300" w:lineRule="auto"/>
                                    <w:ind w:left="126"/>
                                  </w:pPr>
                                  <w:r>
                                    <w:t>01/2018</w:t>
                                  </w:r>
                                </w:p>
                                <w:p w14:paraId="559F223D" w14:textId="77777777" w:rsidR="002C1E66" w:rsidRDefault="00933C95" w:rsidP="00663350">
                                  <w:pPr>
                                    <w:pStyle w:val="Other0"/>
                                    <w:spacing w:after="120" w:line="300" w:lineRule="auto"/>
                                    <w:ind w:left="126"/>
                                  </w:pPr>
                                  <w:r>
                                    <w:t>07/2024</w:t>
                                  </w:r>
                                </w:p>
                                <w:p w14:paraId="54F173DF" w14:textId="77777777" w:rsidR="002C1E66" w:rsidRDefault="002C1E66" w:rsidP="00663350">
                                  <w:pPr>
                                    <w:pStyle w:val="Other0"/>
                                    <w:spacing w:after="120" w:line="300" w:lineRule="auto"/>
                                    <w:ind w:left="126"/>
                                  </w:pPr>
                                  <w:r>
                                    <w:t>07/2024</w:t>
                                  </w:r>
                                </w:p>
                                <w:p w14:paraId="4DF71990" w14:textId="77777777" w:rsidR="002C1E66" w:rsidRDefault="002C1E66" w:rsidP="00663350">
                                  <w:pPr>
                                    <w:pStyle w:val="Other0"/>
                                    <w:spacing w:after="120" w:line="300" w:lineRule="auto"/>
                                    <w:ind w:left="126"/>
                                  </w:pPr>
                                  <w:r>
                                    <w:t>07/2025</w:t>
                                  </w:r>
                                </w:p>
                              </w:tc>
                              <w:tc>
                                <w:tcPr>
                                  <w:tcW w:w="1559" w:type="dxa"/>
                                  <w:tcBorders>
                                    <w:left w:val="single" w:sz="12" w:space="0" w:color="A6A6A6" w:themeColor="background1" w:themeShade="A6"/>
                                  </w:tcBorders>
                                  <w:shd w:val="clear" w:color="auto" w:fill="auto"/>
                                </w:tcPr>
                                <w:p w14:paraId="1B9C8434" w14:textId="77777777" w:rsidR="002C1E66" w:rsidRDefault="002C1E66" w:rsidP="00663350">
                                  <w:pPr>
                                    <w:pStyle w:val="Other0"/>
                                    <w:spacing w:after="120" w:line="300" w:lineRule="auto"/>
                                    <w:ind w:right="277"/>
                                    <w:jc w:val="right"/>
                                  </w:pPr>
                                  <w:r>
                                    <w:t>Propietario</w:t>
                                  </w:r>
                                </w:p>
                              </w:tc>
                              <w:tc>
                                <w:tcPr>
                                  <w:tcW w:w="1564" w:type="dxa"/>
                                  <w:shd w:val="clear" w:color="auto" w:fill="auto"/>
                                </w:tcPr>
                                <w:p w14:paraId="5E887F07" w14:textId="77777777" w:rsidR="002C1E66" w:rsidRDefault="002C1E66" w:rsidP="00663350">
                                  <w:pPr>
                                    <w:pStyle w:val="Other0"/>
                                    <w:spacing w:after="120" w:line="300" w:lineRule="auto"/>
                                  </w:pPr>
                                  <w:r>
                                    <w:t>Colette Lasack: VP, Operaciones del ciclo de ingresos</w:t>
                                  </w:r>
                                </w:p>
                              </w:tc>
                            </w:tr>
                            <w:tr w:rsidR="002C1E66" w14:paraId="579B6D87" w14:textId="77777777" w:rsidTr="00BD5A41">
                              <w:tc>
                                <w:tcPr>
                                  <w:tcW w:w="2121" w:type="dxa"/>
                                  <w:vMerge/>
                                  <w:shd w:val="clear" w:color="auto" w:fill="auto"/>
                                </w:tcPr>
                                <w:p w14:paraId="4203A633" w14:textId="77777777" w:rsidR="002C1E66" w:rsidRDefault="002C1E66" w:rsidP="00663350">
                                  <w:pPr>
                                    <w:pStyle w:val="Other0"/>
                                    <w:spacing w:after="120" w:line="300" w:lineRule="auto"/>
                                    <w:jc w:val="right"/>
                                  </w:pPr>
                                </w:p>
                              </w:tc>
                              <w:tc>
                                <w:tcPr>
                                  <w:tcW w:w="1418" w:type="dxa"/>
                                  <w:vMerge/>
                                  <w:tcBorders>
                                    <w:right w:val="single" w:sz="12" w:space="0" w:color="A6A6A6" w:themeColor="background1" w:themeShade="A6"/>
                                  </w:tcBorders>
                                  <w:shd w:val="clear" w:color="auto" w:fill="auto"/>
                                </w:tcPr>
                                <w:p w14:paraId="210BD9B5" w14:textId="77777777" w:rsidR="002C1E66" w:rsidRDefault="002C1E66"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5EABACCC" w14:textId="77777777" w:rsidR="002C1E66" w:rsidRDefault="002C1E66" w:rsidP="00663350">
                                  <w:pPr>
                                    <w:pStyle w:val="Other0"/>
                                    <w:spacing w:after="120" w:line="300" w:lineRule="auto"/>
                                    <w:ind w:right="277"/>
                                    <w:jc w:val="right"/>
                                  </w:pPr>
                                  <w:r>
                                    <w:t>Área</w:t>
                                  </w:r>
                                </w:p>
                              </w:tc>
                              <w:tc>
                                <w:tcPr>
                                  <w:tcW w:w="1564" w:type="dxa"/>
                                  <w:shd w:val="clear" w:color="auto" w:fill="auto"/>
                                </w:tcPr>
                                <w:p w14:paraId="7B110937" w14:textId="77777777" w:rsidR="002C1E66" w:rsidRDefault="002C1E66" w:rsidP="00663350">
                                  <w:pPr>
                                    <w:pStyle w:val="Other0"/>
                                    <w:spacing w:after="120" w:line="300" w:lineRule="auto"/>
                                  </w:pPr>
                                  <w:r>
                                    <w:t>Administración fiscal</w:t>
                                  </w:r>
                                </w:p>
                              </w:tc>
                            </w:tr>
                            <w:tr w:rsidR="002C1E66" w14:paraId="0BE32FC6" w14:textId="77777777" w:rsidTr="00BD5A41">
                              <w:tc>
                                <w:tcPr>
                                  <w:tcW w:w="2121" w:type="dxa"/>
                                  <w:vMerge/>
                                  <w:shd w:val="clear" w:color="auto" w:fill="auto"/>
                                </w:tcPr>
                                <w:p w14:paraId="00C5B920" w14:textId="77777777" w:rsidR="002C1E66" w:rsidRDefault="002C1E66" w:rsidP="00663350">
                                  <w:pPr>
                                    <w:pStyle w:val="Other0"/>
                                    <w:spacing w:after="120" w:line="300" w:lineRule="auto"/>
                                    <w:jc w:val="right"/>
                                  </w:pPr>
                                </w:p>
                              </w:tc>
                              <w:tc>
                                <w:tcPr>
                                  <w:tcW w:w="1418" w:type="dxa"/>
                                  <w:vMerge/>
                                  <w:tcBorders>
                                    <w:right w:val="single" w:sz="12" w:space="0" w:color="A6A6A6" w:themeColor="background1" w:themeShade="A6"/>
                                  </w:tcBorders>
                                  <w:shd w:val="clear" w:color="auto" w:fill="auto"/>
                                </w:tcPr>
                                <w:p w14:paraId="3C5BB560" w14:textId="77777777" w:rsidR="002C1E66" w:rsidRDefault="002C1E66"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2549F8EC" w14:textId="77777777" w:rsidR="002C1E66" w:rsidRDefault="002C1E66" w:rsidP="00663350">
                                  <w:pPr>
                                    <w:pStyle w:val="Other0"/>
                                    <w:spacing w:after="120" w:line="300" w:lineRule="auto"/>
                                    <w:ind w:right="277"/>
                                    <w:jc w:val="right"/>
                                  </w:pPr>
                                  <w:r>
                                    <w:t>Aplicabilidad</w:t>
                                  </w:r>
                                </w:p>
                              </w:tc>
                              <w:tc>
                                <w:tcPr>
                                  <w:tcW w:w="1564" w:type="dxa"/>
                                  <w:shd w:val="clear" w:color="auto" w:fill="auto"/>
                                </w:tcPr>
                                <w:p w14:paraId="21DF3AE5" w14:textId="4267F8D0" w:rsidR="002C1E66" w:rsidRDefault="002C1E66" w:rsidP="00663350">
                                  <w:pPr>
                                    <w:pStyle w:val="Other0"/>
                                    <w:spacing w:after="120" w:line="300" w:lineRule="auto"/>
                                  </w:pPr>
                                  <w:r>
                                    <w:t>UKHS: Campus de Great Bend - Clínicas/UKHS: Campus de Great Bend - Hospital/TUKHS División de Kansas City</w:t>
                                  </w:r>
                                </w:p>
                              </w:tc>
                            </w:tr>
                            <w:tr w:rsidR="002C1E66" w14:paraId="344912F9" w14:textId="77777777" w:rsidTr="00BD5A41">
                              <w:tc>
                                <w:tcPr>
                                  <w:tcW w:w="2121" w:type="dxa"/>
                                  <w:vMerge/>
                                  <w:shd w:val="clear" w:color="auto" w:fill="auto"/>
                                </w:tcPr>
                                <w:p w14:paraId="25AC6478" w14:textId="77777777" w:rsidR="002C1E66" w:rsidRDefault="002C1E66" w:rsidP="00663350">
                                  <w:pPr>
                                    <w:pStyle w:val="Other0"/>
                                    <w:spacing w:after="120" w:line="300" w:lineRule="auto"/>
                                    <w:jc w:val="right"/>
                                  </w:pPr>
                                </w:p>
                              </w:tc>
                              <w:tc>
                                <w:tcPr>
                                  <w:tcW w:w="1418" w:type="dxa"/>
                                  <w:vMerge/>
                                  <w:tcBorders>
                                    <w:right w:val="single" w:sz="12" w:space="0" w:color="A6A6A6" w:themeColor="background1" w:themeShade="A6"/>
                                  </w:tcBorders>
                                  <w:shd w:val="clear" w:color="auto" w:fill="auto"/>
                                </w:tcPr>
                                <w:p w14:paraId="61972982" w14:textId="77777777" w:rsidR="002C1E66" w:rsidRDefault="002C1E66"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7F2038DD" w14:textId="77777777" w:rsidR="002C1E66" w:rsidRDefault="002C1E66" w:rsidP="00663350">
                                  <w:pPr>
                                    <w:pStyle w:val="Other0"/>
                                    <w:spacing w:after="120" w:line="300" w:lineRule="auto"/>
                                    <w:ind w:right="277"/>
                                    <w:jc w:val="right"/>
                                  </w:pPr>
                                  <w:r>
                                    <w:t>Etiquetas</w:t>
                                  </w:r>
                                </w:p>
                              </w:tc>
                              <w:tc>
                                <w:tcPr>
                                  <w:tcW w:w="1564" w:type="dxa"/>
                                  <w:shd w:val="clear" w:color="auto" w:fill="auto"/>
                                </w:tcPr>
                                <w:p w14:paraId="123271EC" w14:textId="77777777" w:rsidR="002C1E66" w:rsidRDefault="002C1E66" w:rsidP="00663350">
                                  <w:pPr>
                                    <w:pStyle w:val="Other0"/>
                                    <w:spacing w:after="120" w:line="300" w:lineRule="auto"/>
                                  </w:pPr>
                                  <w:r>
                                    <w:t>Ciclo de ingresos, ciclo de ingresos</w:t>
                                  </w:r>
                                </w:p>
                              </w:tc>
                            </w:tr>
                          </w:tbl>
                          <w:p w14:paraId="7269A2AF" w14:textId="77777777" w:rsidR="002C1E66" w:rsidRDefault="002C1E66" w:rsidP="002C1E66">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3F248EF" id="_x0000_t202" coordsize="21600,21600" o:spt="202" path="m,l,21600r21600,l21600,xe">
                <v:stroke joinstyle="miter"/>
                <v:path gradientshapeok="t" o:connecttype="rect"/>
              </v:shapetype>
              <v:shape id="Shape 3" o:spid="_x0000_s1026" type="#_x0000_t202" style="position:absolute;margin-left:125.7pt;margin-top:31.4pt;width:407.7pt;height:283.7pt;z-index:-251657216;visibility:visible;mso-wrap-style:square;mso-width-percent:0;mso-height-percent:0;mso-wrap-distance-left:0;mso-wrap-distance-top:19.7pt;mso-wrap-distance-right:0;mso-wrap-distance-bottom:9.1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" filled="f" stroked="f">
                <v:textbox inset="0,0,0,0">
                  <w:txbxContent>
                    <w:tbl>
                      <w:tblPr>
                        <w:tblOverlap w:val="never"/>
                        <w:tblW w:w="0" w:type="auto"/>
                        <w:tblInd w:w="851" w:type="dxa"/>
                        <w:tblLayout w:type="fixed"/>
                        <w:tblCellMar>
                          <w:left w:w="10" w:type="dxa"/>
                          <w:right w:w="10" w:type="dxa"/>
                        </w:tblCellMar>
                        <w:tblLook w:val="0000" w:firstRow="0" w:lastRow="0" w:firstColumn="0" w:lastColumn="0" w:noHBand="0" w:noVBand="0"/>
                      </w:tblPr>
                      <w:tblGrid>
                        <w:gridCol w:w="2121"/>
                        <w:gridCol w:w="1418"/>
                        <w:gridCol w:w="1559"/>
                        <w:gridCol w:w="1564"/>
                      </w:tblGrid>
                      <w:tr w:rsidR="002C1E66" w14:paraId="357E1BF7" w14:textId="77777777" w:rsidTr="00BD5A41">
                        <w:trPr>
                          <w:tblHeader/>
                        </w:trPr>
                        <w:tc>
                          <w:tcPr>
                            <w:tcW w:w="2121" w:type="dxa"/>
                            <w:vMerge w:val="restart"/>
                            <w:shd w:val="clear" w:color="auto" w:fill="auto"/>
                          </w:tcPr>
                          <w:p w14:paraId="568373A7" w14:textId="77777777" w:rsidR="002C1E66" w:rsidRDefault="002C1E66" w:rsidP="00663350">
                            <w:pPr>
                              <w:pStyle w:val="Other0"/>
                              <w:spacing w:after="120" w:line="300" w:lineRule="auto"/>
                              <w:jc w:val="right"/>
                            </w:pPr>
                            <w:r>
                              <w:rPr>
                                <w:color w:val="516177"/>
                              </w:rPr>
                              <w:t>Origen</w:t>
                            </w:r>
                          </w:p>
                          <w:p w14:paraId="0BF8C196" w14:textId="77777777" w:rsidR="002C1E66" w:rsidRDefault="002C1E66" w:rsidP="00663350">
                            <w:pPr>
                              <w:pStyle w:val="Other0"/>
                              <w:spacing w:after="120" w:line="300" w:lineRule="auto"/>
                              <w:jc w:val="right"/>
                            </w:pPr>
                            <w:r>
                              <w:rPr>
                                <w:color w:val="516177"/>
                              </w:rPr>
                              <w:t>Aprobado</w:t>
                            </w:r>
                          </w:p>
                          <w:p w14:paraId="61274AE4" w14:textId="77777777" w:rsidR="002C1E66" w:rsidRDefault="002C1E66" w:rsidP="00663350">
                            <w:pPr>
                              <w:pStyle w:val="Other0"/>
                              <w:spacing w:after="120" w:line="300" w:lineRule="auto"/>
                              <w:jc w:val="right"/>
                            </w:pPr>
                            <w:r>
                              <w:rPr>
                                <w:color w:val="516177"/>
                              </w:rPr>
                              <w:t>Última revisión</w:t>
                            </w:r>
                          </w:p>
                          <w:p w14:paraId="3B70FDE5" w14:textId="77777777" w:rsidR="002C1E66" w:rsidRDefault="002C1E66" w:rsidP="00663350">
                            <w:pPr>
                              <w:pStyle w:val="Other0"/>
                              <w:spacing w:after="120" w:line="300" w:lineRule="auto"/>
                              <w:jc w:val="right"/>
                            </w:pPr>
                            <w:r>
                              <w:rPr>
                                <w:color w:val="516177"/>
                              </w:rPr>
                              <w:t>Próxima revisión</w:t>
                            </w:r>
                          </w:p>
                        </w:tc>
                        <w:tc>
                          <w:tcPr>
                            <w:tcW w:w="1418" w:type="dxa"/>
                            <w:vMerge w:val="restart"/>
                            <w:tcBorders>
                              <w:right w:val="single" w:sz="12" w:space="0" w:color="A6A6A6" w:themeColor="background1" w:themeShade="A6"/>
                            </w:tcBorders>
                            <w:shd w:val="clear" w:color="auto" w:fill="auto"/>
                          </w:tcPr>
                          <w:p w14:paraId="78C917B3" w14:textId="77777777" w:rsidR="002C1E66" w:rsidRDefault="002C1E66" w:rsidP="00663350">
                            <w:pPr>
                              <w:pStyle w:val="Other0"/>
                              <w:spacing w:after="120" w:line="300" w:lineRule="auto"/>
                              <w:ind w:left="126"/>
                            </w:pPr>
                            <w:r>
                              <w:t>01/2018</w:t>
                            </w:r>
                          </w:p>
                          <w:p w14:paraId="559F223D" w14:textId="77777777" w:rsidR="002C1E66" w:rsidRDefault="00933C95" w:rsidP="00663350">
                            <w:pPr>
                              <w:pStyle w:val="Other0"/>
                              <w:spacing w:after="120" w:line="300" w:lineRule="auto"/>
                              <w:ind w:left="126"/>
                            </w:pPr>
                            <w:r>
                              <w:t>07/2024</w:t>
                            </w:r>
                          </w:p>
                          <w:p w14:paraId="54F173DF" w14:textId="77777777" w:rsidR="002C1E66" w:rsidRDefault="002C1E66" w:rsidP="00663350">
                            <w:pPr>
                              <w:pStyle w:val="Other0"/>
                              <w:spacing w:after="120" w:line="300" w:lineRule="auto"/>
                              <w:ind w:left="126"/>
                            </w:pPr>
                            <w:r>
                              <w:t>07/2024</w:t>
                            </w:r>
                          </w:p>
                          <w:p w14:paraId="4DF71990" w14:textId="77777777" w:rsidR="002C1E66" w:rsidRDefault="002C1E66" w:rsidP="00663350">
                            <w:pPr>
                              <w:pStyle w:val="Other0"/>
                              <w:spacing w:after="120" w:line="300" w:lineRule="auto"/>
                              <w:ind w:left="126"/>
                            </w:pPr>
                            <w:r>
                              <w:t>07/2025</w:t>
                            </w:r>
                          </w:p>
                        </w:tc>
                        <w:tc>
                          <w:tcPr>
                            <w:tcW w:w="1559" w:type="dxa"/>
                            <w:tcBorders>
                              <w:left w:val="single" w:sz="12" w:space="0" w:color="A6A6A6" w:themeColor="background1" w:themeShade="A6"/>
                            </w:tcBorders>
                            <w:shd w:val="clear" w:color="auto" w:fill="auto"/>
                          </w:tcPr>
                          <w:p w14:paraId="1B9C8434" w14:textId="77777777" w:rsidR="002C1E66" w:rsidRDefault="002C1E66" w:rsidP="00663350">
                            <w:pPr>
                              <w:pStyle w:val="Other0"/>
                              <w:spacing w:after="120" w:line="300" w:lineRule="auto"/>
                              <w:ind w:right="277"/>
                              <w:jc w:val="right"/>
                            </w:pPr>
                            <w:r>
                              <w:t>Propietario</w:t>
                            </w:r>
                          </w:p>
                        </w:tc>
                        <w:tc>
                          <w:tcPr>
                            <w:tcW w:w="1564" w:type="dxa"/>
                            <w:shd w:val="clear" w:color="auto" w:fill="auto"/>
                          </w:tcPr>
                          <w:p w14:paraId="5E887F07" w14:textId="77777777" w:rsidR="002C1E66" w:rsidRDefault="002C1E66" w:rsidP="00663350">
                            <w:pPr>
                              <w:pStyle w:val="Other0"/>
                              <w:spacing w:after="120" w:line="300" w:lineRule="auto"/>
                            </w:pPr>
                            <w:r>
                              <w:t>Colette Lasack: VP, Operaciones del ciclo de ingresos</w:t>
                            </w:r>
                          </w:p>
                        </w:tc>
                      </w:tr>
                      <w:tr w:rsidR="002C1E66" w14:paraId="579B6D87" w14:textId="77777777" w:rsidTr="00BD5A41">
                        <w:tc>
                          <w:tcPr>
                            <w:tcW w:w="2121" w:type="dxa"/>
                            <w:vMerge/>
                            <w:shd w:val="clear" w:color="auto" w:fill="auto"/>
                          </w:tcPr>
                          <w:p w14:paraId="4203A633" w14:textId="77777777" w:rsidR="002C1E66" w:rsidRDefault="002C1E66" w:rsidP="00663350">
                            <w:pPr>
                              <w:pStyle w:val="Other0"/>
                              <w:spacing w:after="120" w:line="300" w:lineRule="auto"/>
                              <w:jc w:val="right"/>
                            </w:pPr>
                          </w:p>
                        </w:tc>
                        <w:tc>
                          <w:tcPr>
                            <w:tcW w:w="1418" w:type="dxa"/>
                            <w:vMerge/>
                            <w:tcBorders>
                              <w:right w:val="single" w:sz="12" w:space="0" w:color="A6A6A6" w:themeColor="background1" w:themeShade="A6"/>
                            </w:tcBorders>
                            <w:shd w:val="clear" w:color="auto" w:fill="auto"/>
                          </w:tcPr>
                          <w:p w14:paraId="210BD9B5" w14:textId="77777777" w:rsidR="002C1E66" w:rsidRDefault="002C1E66"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5EABACCC" w14:textId="77777777" w:rsidR="002C1E66" w:rsidRDefault="002C1E66" w:rsidP="00663350">
                            <w:pPr>
                              <w:pStyle w:val="Other0"/>
                              <w:spacing w:after="120" w:line="300" w:lineRule="auto"/>
                              <w:ind w:right="277"/>
                              <w:jc w:val="right"/>
                            </w:pPr>
                            <w:r>
                              <w:t>Área</w:t>
                            </w:r>
                          </w:p>
                        </w:tc>
                        <w:tc>
                          <w:tcPr>
                            <w:tcW w:w="1564" w:type="dxa"/>
                            <w:shd w:val="clear" w:color="auto" w:fill="auto"/>
                          </w:tcPr>
                          <w:p w14:paraId="7B110937" w14:textId="77777777" w:rsidR="002C1E66" w:rsidRDefault="002C1E66" w:rsidP="00663350">
                            <w:pPr>
                              <w:pStyle w:val="Other0"/>
                              <w:spacing w:after="120" w:line="300" w:lineRule="auto"/>
                            </w:pPr>
                            <w:r>
                              <w:t>Administración fiscal</w:t>
                            </w:r>
                          </w:p>
                        </w:tc>
                      </w:tr>
                      <w:tr w:rsidR="002C1E66" w14:paraId="0BE32FC6" w14:textId="77777777" w:rsidTr="00BD5A41">
                        <w:tc>
                          <w:tcPr>
                            <w:tcW w:w="2121" w:type="dxa"/>
                            <w:vMerge/>
                            <w:shd w:val="clear" w:color="auto" w:fill="auto"/>
                          </w:tcPr>
                          <w:p w14:paraId="00C5B920" w14:textId="77777777" w:rsidR="002C1E66" w:rsidRDefault="002C1E66" w:rsidP="00663350">
                            <w:pPr>
                              <w:pStyle w:val="Other0"/>
                              <w:spacing w:after="120" w:line="300" w:lineRule="auto"/>
                              <w:jc w:val="right"/>
                            </w:pPr>
                          </w:p>
                        </w:tc>
                        <w:tc>
                          <w:tcPr>
                            <w:tcW w:w="1418" w:type="dxa"/>
                            <w:vMerge/>
                            <w:tcBorders>
                              <w:right w:val="single" w:sz="12" w:space="0" w:color="A6A6A6" w:themeColor="background1" w:themeShade="A6"/>
                            </w:tcBorders>
                            <w:shd w:val="clear" w:color="auto" w:fill="auto"/>
                          </w:tcPr>
                          <w:p w14:paraId="3C5BB560" w14:textId="77777777" w:rsidR="002C1E66" w:rsidRDefault="002C1E66"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2549F8EC" w14:textId="77777777" w:rsidR="002C1E66" w:rsidRDefault="002C1E66" w:rsidP="00663350">
                            <w:pPr>
                              <w:pStyle w:val="Other0"/>
                              <w:spacing w:after="120" w:line="300" w:lineRule="auto"/>
                              <w:ind w:right="277"/>
                              <w:jc w:val="right"/>
                            </w:pPr>
                            <w:r>
                              <w:t>Aplicabilidad</w:t>
                            </w:r>
                          </w:p>
                        </w:tc>
                        <w:tc>
                          <w:tcPr>
                            <w:tcW w:w="1564" w:type="dxa"/>
                            <w:shd w:val="clear" w:color="auto" w:fill="auto"/>
                          </w:tcPr>
                          <w:p w14:paraId="21DF3AE5" w14:textId="4267F8D0" w:rsidR="002C1E66" w:rsidRDefault="002C1E66" w:rsidP="00663350">
                            <w:pPr>
                              <w:pStyle w:val="Other0"/>
                              <w:spacing w:after="120" w:line="300" w:lineRule="auto"/>
                            </w:pPr>
                            <w:r>
                              <w:t>UKHS: Campus de Great Bend - Clínicas/UKHS: Campus de Great Bend - Hospital/TUKHS División de Kansas City</w:t>
                            </w:r>
                          </w:p>
                        </w:tc>
                      </w:tr>
                      <w:tr w:rsidR="002C1E66" w14:paraId="344912F9" w14:textId="77777777" w:rsidTr="00BD5A41">
                        <w:tc>
                          <w:tcPr>
                            <w:tcW w:w="2121" w:type="dxa"/>
                            <w:vMerge/>
                            <w:shd w:val="clear" w:color="auto" w:fill="auto"/>
                          </w:tcPr>
                          <w:p w14:paraId="25AC6478" w14:textId="77777777" w:rsidR="002C1E66" w:rsidRDefault="002C1E66" w:rsidP="00663350">
                            <w:pPr>
                              <w:pStyle w:val="Other0"/>
                              <w:spacing w:after="120" w:line="300" w:lineRule="auto"/>
                              <w:jc w:val="right"/>
                            </w:pPr>
                          </w:p>
                        </w:tc>
                        <w:tc>
                          <w:tcPr>
                            <w:tcW w:w="1418" w:type="dxa"/>
                            <w:vMerge/>
                            <w:tcBorders>
                              <w:right w:val="single" w:sz="12" w:space="0" w:color="A6A6A6" w:themeColor="background1" w:themeShade="A6"/>
                            </w:tcBorders>
                            <w:shd w:val="clear" w:color="auto" w:fill="auto"/>
                          </w:tcPr>
                          <w:p w14:paraId="61972982" w14:textId="77777777" w:rsidR="002C1E66" w:rsidRDefault="002C1E66"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7F2038DD" w14:textId="77777777" w:rsidR="002C1E66" w:rsidRDefault="002C1E66" w:rsidP="00663350">
                            <w:pPr>
                              <w:pStyle w:val="Other0"/>
                              <w:spacing w:after="120" w:line="300" w:lineRule="auto"/>
                              <w:ind w:right="277"/>
                              <w:jc w:val="right"/>
                            </w:pPr>
                            <w:r>
                              <w:t>Etiquetas</w:t>
                            </w:r>
                          </w:p>
                        </w:tc>
                        <w:tc>
                          <w:tcPr>
                            <w:tcW w:w="1564" w:type="dxa"/>
                            <w:shd w:val="clear" w:color="auto" w:fill="auto"/>
                          </w:tcPr>
                          <w:p w14:paraId="123271EC" w14:textId="77777777" w:rsidR="002C1E66" w:rsidRDefault="002C1E66" w:rsidP="00663350">
                            <w:pPr>
                              <w:pStyle w:val="Other0"/>
                              <w:spacing w:after="120" w:line="300" w:lineRule="auto"/>
                            </w:pPr>
                            <w:r>
                              <w:t>Ciclo de ingresos, ciclo de ingresos</w:t>
                            </w:r>
                          </w:p>
                        </w:tc>
                      </w:tr>
                    </w:tbl>
                    <w:p w14:paraId="7269A2AF" w14:textId="77777777" w:rsidR="002C1E66" w:rsidRDefault="002C1E66" w:rsidP="002C1E66">
                      <w:pPr>
                        <w:spacing w:line="1" w:lineRule="exact"/>
                      </w:pPr>
                    </w:p>
                  </w:txbxContent>
                </v:textbox>
                <w10:wrap type="topAndBottom" anchorx="page"/>
              </v:shape>
            </w:pict>
          </mc:Fallback>
        </mc:AlternateContent>
      </w:r>
      <w:r w:rsidR="002C1E66">
        <w:rPr>
          <w:b/>
          <w:bCs/>
          <w:noProof/>
          <w:lang w:val="es-UY" w:eastAsia="es-UY" w:bidi="ar-SA"/>
        </w:rPr>
        <w:drawing>
          <wp:anchor distT="0" distB="0" distL="114300" distR="114300" simplePos="0" relativeHeight="251660288" behindDoc="0" locked="0" layoutInCell="1" allowOverlap="1" wp14:anchorId="024AD9C6" wp14:editId="0C913B14">
            <wp:simplePos x="0" y="0"/>
            <wp:positionH relativeFrom="column">
              <wp:posOffset>-54610</wp:posOffset>
            </wp:positionH>
            <wp:positionV relativeFrom="paragraph">
              <wp:posOffset>2041187</wp:posOffset>
            </wp:positionV>
            <wp:extent cx="1971304" cy="52277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71304" cy="522777"/>
                    </a:xfrm>
                    <a:prstGeom prst="rect">
                      <a:avLst/>
                    </a:prstGeom>
                  </pic:spPr>
                </pic:pic>
              </a:graphicData>
            </a:graphic>
            <wp14:sizeRelH relativeFrom="margin">
              <wp14:pctWidth>0</wp14:pctWidth>
            </wp14:sizeRelH>
            <wp14:sizeRelV relativeFrom="margin">
              <wp14:pctHeight>0</wp14:pctHeight>
            </wp14:sizeRelV>
          </wp:anchor>
        </w:drawing>
      </w:r>
      <w:r w:rsidR="002C1E66">
        <w:t xml:space="preserve">Estado </w:t>
      </w:r>
      <w:r w:rsidR="002C1E66">
        <w:rPr>
          <w:color w:val="DDDDDD"/>
        </w:rPr>
        <w:t>(</w:t>
      </w:r>
      <w:r w:rsidR="002C1E66">
        <w:rPr>
          <w:b/>
          <w:bCs/>
        </w:rPr>
        <w:t>Activo</w:t>
      </w:r>
      <w:r w:rsidR="002C1E66">
        <w:rPr>
          <w:b/>
          <w:bCs/>
          <w:color w:val="DDDDDD"/>
        </w:rPr>
        <w:t>)</w:t>
      </w:r>
      <w:r w:rsidR="002C1E66">
        <w:rPr>
          <w:color w:val="DDDDDD"/>
        </w:rPr>
        <w:t xml:space="preserve"> </w:t>
      </w:r>
      <w:r w:rsidR="002C1E66">
        <w:t xml:space="preserve">N.º de ID de PolicyStat </w:t>
      </w:r>
      <w:r w:rsidR="002C1E66">
        <w:rPr>
          <w:color w:val="DDDDDD"/>
        </w:rPr>
        <w:t>(</w:t>
      </w:r>
      <w:r w:rsidR="002C1E66">
        <w:rPr>
          <w:b/>
          <w:bCs/>
        </w:rPr>
        <w:t>16115878</w:t>
      </w:r>
      <w:r w:rsidR="002C1E66">
        <w:rPr>
          <w:b/>
          <w:bCs/>
          <w:color w:val="DDDDDD"/>
        </w:rPr>
        <w:t>)</w:t>
      </w:r>
    </w:p>
    <w:p w14:paraId="0BED6396" w14:textId="2C44DB8B" w:rsidR="00EB7B46" w:rsidRDefault="00415E62" w:rsidP="00BD5A41">
      <w:pPr>
        <w:pStyle w:val="Heading10"/>
        <w:keepNext/>
        <w:keepLines/>
        <w:pBdr>
          <w:bottom w:val="single" w:sz="12" w:space="1" w:color="A6A6A6" w:themeColor="background1" w:themeShade="A6"/>
        </w:pBdr>
        <w:spacing w:after="0"/>
      </w:pPr>
      <w:r>
        <w:t>Cobros de pag</w:t>
      </w:r>
      <w:r w:rsidR="00DC1F14">
        <w:rPr>
          <w:noProof/>
          <w:lang w:val="es-UY" w:eastAsia="es-UY" w:bidi="ar-SA"/>
        </w:rPr>
        <mc:AlternateContent>
          <mc:Choice Requires="wps">
            <w:drawing>
              <wp:anchor distT="45720" distB="45720" distL="114300" distR="114300" simplePos="0" relativeHeight="251662336" behindDoc="1" locked="0" layoutInCell="1" allowOverlap="1" wp14:anchorId="3A941FF2" wp14:editId="5F9A61CB">
                <wp:simplePos x="0" y="0"/>
                <wp:positionH relativeFrom="column">
                  <wp:posOffset>-10795</wp:posOffset>
                </wp:positionH>
                <wp:positionV relativeFrom="paragraph">
                  <wp:posOffset>2872105</wp:posOffset>
                </wp:positionV>
                <wp:extent cx="6317673" cy="2101933"/>
                <wp:effectExtent l="0" t="0" r="698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7B000450" w14:textId="77777777" w:rsidR="00DC1F14" w:rsidRPr="00C745D7" w:rsidRDefault="00DC1F14" w:rsidP="00DC1F14">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41FF2" id="Text Box 2" o:spid="_x0000_s1027" type="#_x0000_t202" style="position:absolute;left:0;text-align:left;margin-left:-.85pt;margin-top:226.15pt;width:497.45pt;height:16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" filled="f" stroked="f">
                <v:textbox inset="0,0,0,0">
                  <w:txbxContent>
                    <w:p w14:paraId="7B000450" w14:textId="77777777" w:rsidR="00DC1F14" w:rsidRPr="00C745D7" w:rsidRDefault="00DC1F14" w:rsidP="00DC1F14">
                      <w:pPr>
                        <w:pStyle w:val="Bodytext30"/>
                      </w:pPr>
                      <w:r>
                        <w:t>COPIA</w:t>
                      </w:r>
                    </w:p>
                  </w:txbxContent>
                </v:textbox>
              </v:shape>
            </w:pict>
          </mc:Fallback>
        </mc:AlternateContent>
      </w:r>
      <w:r>
        <w:t>os particulares</w:t>
      </w:r>
      <w:bookmarkEnd w:id="0"/>
      <w:bookmarkEnd w:id="1"/>
      <w:bookmarkEnd w:id="2"/>
    </w:p>
    <w:p w14:paraId="68A73384" w14:textId="77777777" w:rsidR="00BD5A41" w:rsidRPr="00933C95" w:rsidRDefault="00BD5A41" w:rsidP="00BD5A41">
      <w:pPr>
        <w:pStyle w:val="Heading10"/>
        <w:keepNext/>
        <w:keepLines/>
        <w:pBdr>
          <w:bottom w:val="single" w:sz="12" w:space="1" w:color="A6A6A6" w:themeColor="background1" w:themeShade="A6"/>
        </w:pBdr>
        <w:spacing w:after="720"/>
      </w:pPr>
    </w:p>
    <w:p w14:paraId="2D121A2E" w14:textId="77777777" w:rsidR="00EB7B46" w:rsidRPr="00933C95" w:rsidRDefault="00415E62" w:rsidP="00D16986">
      <w:pPr>
        <w:pStyle w:val="Heading20"/>
        <w:keepNext/>
        <w:keepLines/>
        <w:spacing w:after="140"/>
        <w:jc w:val="both"/>
      </w:pPr>
      <w:bookmarkStart w:id="3" w:name="bookmark3"/>
      <w:bookmarkStart w:id="4" w:name="bookmark4"/>
      <w:bookmarkStart w:id="5" w:name="bookmark5"/>
      <w:r>
        <w:t>ALCANCE:</w:t>
      </w:r>
      <w:bookmarkEnd w:id="3"/>
      <w:bookmarkEnd w:id="4"/>
      <w:bookmarkEnd w:id="5"/>
    </w:p>
    <w:p w14:paraId="2A832264" w14:textId="77777777" w:rsidR="00EB7B46" w:rsidRPr="00933C95" w:rsidRDefault="00415E62" w:rsidP="00D16986">
      <w:pPr>
        <w:pStyle w:val="BodyText"/>
        <w:spacing w:after="0" w:line="314" w:lineRule="auto"/>
      </w:pPr>
      <w:r>
        <w:t>Esta política aplica a personas que trabajan en el Ciclo de ingresos, que incluyen Servicios financieros del paciente, Servicio al cliente, Seguimiento del pago particular en la Oficina comercial única (SBO), y proveedores externos responsables de cobrar los saldos de los garantes.</w:t>
      </w:r>
    </w:p>
    <w:p w14:paraId="03CB1B57" w14:textId="77777777" w:rsidR="00EB7B46" w:rsidRPr="00933C95" w:rsidRDefault="00415E62" w:rsidP="00D16986">
      <w:pPr>
        <w:pStyle w:val="Heading20"/>
        <w:keepNext/>
        <w:keepLines/>
        <w:spacing w:after="140"/>
        <w:jc w:val="both"/>
      </w:pPr>
      <w:bookmarkStart w:id="6" w:name="bookmark6"/>
      <w:bookmarkStart w:id="7" w:name="bookmark7"/>
      <w:bookmarkStart w:id="8" w:name="bookmark8"/>
      <w:r>
        <w:t>PROPÓSITO:</w:t>
      </w:r>
      <w:bookmarkEnd w:id="6"/>
      <w:bookmarkEnd w:id="7"/>
      <w:bookmarkEnd w:id="8"/>
    </w:p>
    <w:p w14:paraId="21E4973F" w14:textId="72895BC3" w:rsidR="00EB7B46" w:rsidRPr="00933C95" w:rsidRDefault="00415E62" w:rsidP="00D16986">
      <w:pPr>
        <w:pStyle w:val="BodyText"/>
        <w:spacing w:after="140" w:line="312" w:lineRule="auto"/>
      </w:pPr>
      <w:r>
        <w:t>The University of Kansas Health System tiene el compromiso de aplicar un método coherente para notificar a los garantes de la responsabilidad financiera y dar el tiempo suficiente para resolver los saldos de las cuentas antes de transferir las cuentas a deudas incobrables. Los pasos de este proceso incluyen estados de cuenta, llamadas telefónicas, cartas, pago de facturas en línea y acceso a una operación de servicio al cliente que pueda brindar asistencia sobre las consultas de facturación. El objetivo de esta política es asegurar procesos de cobro coherentes de los saldos de todos los garantes de acuerdo con todas las pautas estatales y federales, incluida la Ley de No Sorpresas (NSA). Para obtener información adicional sobre la Ley de No Sorpresas, visite https://www.cms.gov/nosurprises.</w:t>
      </w:r>
    </w:p>
    <w:p w14:paraId="598B2008" w14:textId="77777777" w:rsidR="00EB7B46" w:rsidRPr="00933C95" w:rsidRDefault="00415E62" w:rsidP="00D16986">
      <w:pPr>
        <w:pStyle w:val="Heading20"/>
        <w:keepNext/>
        <w:keepLines/>
        <w:spacing w:after="120"/>
      </w:pPr>
      <w:bookmarkStart w:id="9" w:name="bookmark10"/>
      <w:bookmarkStart w:id="10" w:name="bookmark11"/>
      <w:bookmarkStart w:id="11" w:name="bookmark9"/>
      <w:r>
        <w:lastRenderedPageBreak/>
        <w:t>DEFINICIONES:</w:t>
      </w:r>
      <w:bookmarkEnd w:id="9"/>
      <w:bookmarkEnd w:id="10"/>
      <w:bookmarkEnd w:id="11"/>
    </w:p>
    <w:p w14:paraId="4958AC12" w14:textId="77777777" w:rsidR="00EB7B46" w:rsidRPr="00933C95" w:rsidRDefault="00415E62" w:rsidP="00D16986">
      <w:pPr>
        <w:pStyle w:val="BodyText"/>
        <w:spacing w:after="120" w:line="312" w:lineRule="auto"/>
      </w:pPr>
      <w:r>
        <w:rPr>
          <w:b/>
          <w:bCs/>
        </w:rPr>
        <w:t>Garante:</w:t>
      </w:r>
      <w:r>
        <w:t xml:space="preserve"> la parte responsable del pago de los cobros no cubiertos por el seguro o todos los cargos cuando el paciente no tiene seguro o la cobertura de responsabilidad legal de terceros (paciente de pago particular/privado)</w:t>
      </w:r>
    </w:p>
    <w:p w14:paraId="69CE0E38" w14:textId="77777777" w:rsidR="00EB7B46" w:rsidRPr="00933C95" w:rsidRDefault="00415E62" w:rsidP="00D16986">
      <w:pPr>
        <w:pStyle w:val="BodyText"/>
        <w:spacing w:after="120" w:line="312" w:lineRule="auto"/>
      </w:pPr>
      <w:r>
        <w:rPr>
          <w:b/>
          <w:bCs/>
        </w:rPr>
        <w:t>Sin seguro:</w:t>
      </w:r>
      <w:r>
        <w:t xml:space="preserve"> el paciente no tiene asistencia de terceros para ayudar con la responsabilidad financiera de los servicios médicos</w:t>
      </w:r>
    </w:p>
    <w:p w14:paraId="210478D3" w14:textId="77777777" w:rsidR="00EB7B46" w:rsidRPr="00933C95" w:rsidRDefault="00415E62">
      <w:pPr>
        <w:pStyle w:val="BodyText"/>
        <w:spacing w:after="120" w:line="312" w:lineRule="auto"/>
      </w:pPr>
      <w:r w:rsidRPr="00BD5A41">
        <w:rPr>
          <w:b/>
          <w:bCs/>
        </w:rPr>
        <w:t>Cargos brutos</w:t>
      </w:r>
      <w:r w:rsidRPr="00BD5A41">
        <w:rPr>
          <w:b/>
        </w:rPr>
        <w:t>:</w:t>
      </w:r>
      <w:r>
        <w:t xml:space="preserve"> cargos totales a las tarifas establecidas en la organización para la prestación de servicios de atención al paciente antes de que se apliquen las deducciones de los ingresos</w:t>
      </w:r>
    </w:p>
    <w:p w14:paraId="439C0181" w14:textId="77777777" w:rsidR="00EB7B46" w:rsidRPr="00933C95" w:rsidRDefault="00415E62">
      <w:pPr>
        <w:pStyle w:val="BodyText"/>
        <w:spacing w:after="120"/>
      </w:pPr>
      <w:r>
        <w:rPr>
          <w:b/>
          <w:bCs/>
        </w:rPr>
        <w:t>Descuento de pago particular:</w:t>
      </w:r>
      <w:r>
        <w:t xml:space="preserve"> descuento aplicado a los montos adeudados de los pacientes por servicios no asegurados</w:t>
      </w:r>
    </w:p>
    <w:p w14:paraId="52F29D4F" w14:textId="77777777" w:rsidR="00EB7B46" w:rsidRPr="00DC1F14" w:rsidRDefault="00415E62">
      <w:pPr>
        <w:pStyle w:val="BodyText"/>
        <w:rPr>
          <w:lang w:val="en-US"/>
        </w:rPr>
      </w:pPr>
      <w:r w:rsidRPr="00DC1F14">
        <w:rPr>
          <w:b/>
          <w:bCs/>
          <w:lang w:val="en-US"/>
        </w:rPr>
        <w:t>Sistema de salud</w:t>
      </w:r>
      <w:r w:rsidRPr="00BD5A41">
        <w:rPr>
          <w:b/>
          <w:lang w:val="en-US"/>
        </w:rPr>
        <w:t>:</w:t>
      </w:r>
      <w:r w:rsidRPr="00DC1F14">
        <w:rPr>
          <w:lang w:val="en-US"/>
        </w:rPr>
        <w:t xml:space="preserve"> The University of Kansas Health System</w:t>
      </w:r>
    </w:p>
    <w:p w14:paraId="4089CBAC" w14:textId="77777777" w:rsidR="00EB7B46" w:rsidRPr="00933C95" w:rsidRDefault="00415E62">
      <w:pPr>
        <w:pStyle w:val="Heading20"/>
        <w:keepNext/>
        <w:keepLines/>
        <w:spacing w:after="120"/>
      </w:pPr>
      <w:bookmarkStart w:id="12" w:name="bookmark12"/>
      <w:bookmarkStart w:id="13" w:name="bookmark13"/>
      <w:bookmarkStart w:id="14" w:name="bookmark14"/>
      <w:r>
        <w:t>FILOSOFÍA</w:t>
      </w:r>
      <w:bookmarkEnd w:id="12"/>
      <w:bookmarkEnd w:id="13"/>
      <w:bookmarkEnd w:id="14"/>
    </w:p>
    <w:p w14:paraId="01575583" w14:textId="77777777" w:rsidR="00EB7B46" w:rsidRPr="00933C95" w:rsidRDefault="00415E62">
      <w:pPr>
        <w:pStyle w:val="BodyText"/>
        <w:spacing w:after="120"/>
      </w:pPr>
      <w:r>
        <w:t>El Sistema de salud prestará servicios de atención médica basado en los siguientes principios:</w:t>
      </w:r>
    </w:p>
    <w:p w14:paraId="0E7835C5" w14:textId="2BE19A1D" w:rsidR="00EB7B46" w:rsidRPr="00933C95" w:rsidRDefault="00415E62">
      <w:pPr>
        <w:pStyle w:val="BodyText"/>
        <w:numPr>
          <w:ilvl w:val="0"/>
          <w:numId w:val="1"/>
        </w:numPr>
        <w:tabs>
          <w:tab w:val="left" w:pos="973"/>
        </w:tabs>
        <w:ind w:left="960" w:hanging="360"/>
      </w:pPr>
      <w:bookmarkStart w:id="15" w:name="bookmark15"/>
      <w:bookmarkEnd w:id="15"/>
      <w:r>
        <w:t>El Sistema de salud tratará a los pacientes de manera equitativa, con dignidad, respeto, compasión y de manera cohere</w:t>
      </w:r>
      <w:r w:rsidR="001F2B17">
        <w:rPr>
          <w:noProof/>
          <w:lang w:val="es-UY" w:eastAsia="es-UY" w:bidi="ar-SA"/>
        </w:rPr>
        <mc:AlternateContent>
          <mc:Choice Requires="wps">
            <w:drawing>
              <wp:anchor distT="45720" distB="45720" distL="114300" distR="114300" simplePos="0" relativeHeight="251664384" behindDoc="1" locked="0" layoutInCell="1" allowOverlap="1" wp14:anchorId="40A67FF7" wp14:editId="4E87EAB1">
                <wp:simplePos x="0" y="0"/>
                <wp:positionH relativeFrom="column">
                  <wp:posOffset>-10795</wp:posOffset>
                </wp:positionH>
                <wp:positionV relativeFrom="paragraph">
                  <wp:posOffset>-162560</wp:posOffset>
                </wp:positionV>
                <wp:extent cx="6317673" cy="2101933"/>
                <wp:effectExtent l="0" t="0" r="698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384BCAEC" w14:textId="77777777" w:rsidR="001F2B17" w:rsidRPr="00C745D7" w:rsidRDefault="001F2B17" w:rsidP="001F2B1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67FF7" id="_x0000_s1028" type="#_x0000_t202" style="position:absolute;left:0;text-align:left;margin-left:-.85pt;margin-top:-12.8pt;width:497.45pt;height:165.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" filled="f" stroked="f">
                <v:textbox inset="0,0,0,0">
                  <w:txbxContent>
                    <w:p w14:paraId="384BCAEC" w14:textId="77777777" w:rsidR="001F2B17" w:rsidRPr="00C745D7" w:rsidRDefault="001F2B17" w:rsidP="001F2B17">
                      <w:pPr>
                        <w:pStyle w:val="Bodytext30"/>
                      </w:pPr>
                      <w:r>
                        <w:t>COPIA</w:t>
                      </w:r>
                    </w:p>
                  </w:txbxContent>
                </v:textbox>
              </v:shape>
            </w:pict>
          </mc:Fallback>
        </mc:AlternateContent>
      </w:r>
      <w:r>
        <w:t>nte.</w:t>
      </w:r>
    </w:p>
    <w:p w14:paraId="34B37C5E" w14:textId="77777777" w:rsidR="00EB7B46" w:rsidRPr="00933C95" w:rsidRDefault="00415E62">
      <w:pPr>
        <w:pStyle w:val="BodyText"/>
        <w:numPr>
          <w:ilvl w:val="0"/>
          <w:numId w:val="1"/>
        </w:numPr>
        <w:tabs>
          <w:tab w:val="left" w:pos="973"/>
        </w:tabs>
        <w:ind w:left="960" w:hanging="360"/>
      </w:pPr>
      <w:bookmarkStart w:id="16" w:name="bookmark16"/>
      <w:bookmarkEnd w:id="16"/>
      <w:r>
        <w:t>El Sistema de salud atenderá las necesidades de atención médica de emergencia de todas las personas, independientemente de su capacidad de pagar la atención.</w:t>
      </w:r>
    </w:p>
    <w:p w14:paraId="64B6F129" w14:textId="77777777" w:rsidR="00EB7B46" w:rsidRPr="00933C95" w:rsidRDefault="00415E62">
      <w:pPr>
        <w:pStyle w:val="BodyText"/>
        <w:numPr>
          <w:ilvl w:val="0"/>
          <w:numId w:val="1"/>
        </w:numPr>
        <w:tabs>
          <w:tab w:val="left" w:pos="973"/>
        </w:tabs>
        <w:spacing w:line="283" w:lineRule="auto"/>
        <w:ind w:left="960" w:hanging="360"/>
      </w:pPr>
      <w:bookmarkStart w:id="17" w:name="bookmark17"/>
      <w:bookmarkEnd w:id="17"/>
      <w:r>
        <w:t>El Sistema de salud tendrá disponible personal dedicado (asesores financieros) para ayudar a los solicitantes de la Política de asistencia financiera (FAP) con sus facturas del hospital e informará la disponibilidad de asesoramiento financiero en el proceso de facturación y cobro.</w:t>
      </w:r>
    </w:p>
    <w:p w14:paraId="594E8D45" w14:textId="77777777" w:rsidR="00EB7B46" w:rsidRPr="00933C95" w:rsidRDefault="00415E62">
      <w:pPr>
        <w:pStyle w:val="BodyText"/>
        <w:numPr>
          <w:ilvl w:val="0"/>
          <w:numId w:val="1"/>
        </w:numPr>
        <w:tabs>
          <w:tab w:val="left" w:pos="973"/>
        </w:tabs>
        <w:ind w:left="960" w:hanging="360"/>
      </w:pPr>
      <w:bookmarkStart w:id="18" w:name="bookmark18"/>
      <w:bookmarkEnd w:id="18"/>
      <w:r>
        <w:t>Las políticas de facturación y cobro de deudas del Sistema de salud y sus agencias de cobro externas reflejarán la misión y los valores del Sistema de salud.</w:t>
      </w:r>
    </w:p>
    <w:p w14:paraId="358E6A5B" w14:textId="77777777" w:rsidR="00EB7B46" w:rsidRPr="00933C95" w:rsidRDefault="00415E62">
      <w:pPr>
        <w:pStyle w:val="BodyText"/>
        <w:numPr>
          <w:ilvl w:val="0"/>
          <w:numId w:val="1"/>
        </w:numPr>
        <w:tabs>
          <w:tab w:val="left" w:pos="973"/>
        </w:tabs>
        <w:spacing w:after="120"/>
        <w:ind w:left="960" w:hanging="360"/>
      </w:pPr>
      <w:bookmarkStart w:id="19" w:name="bookmark19"/>
      <w:bookmarkEnd w:id="19"/>
      <w:r>
        <w:t>El Sistema de salud educará a los miembros del personal para poder dirigir a los pacientes a los recursos de asesoramiento financiero.</w:t>
      </w:r>
    </w:p>
    <w:p w14:paraId="3392FA2E" w14:textId="77777777" w:rsidR="00EB7B46" w:rsidRPr="00933C95" w:rsidRDefault="00415E62">
      <w:pPr>
        <w:pStyle w:val="BodyText"/>
        <w:spacing w:after="120"/>
      </w:pPr>
      <w:r>
        <w:rPr>
          <w:b/>
          <w:bCs/>
        </w:rPr>
        <w:t>PAUTAS PARA LOS COBROS DE PAGOS PARTICULARES</w:t>
      </w:r>
    </w:p>
    <w:p w14:paraId="28947760" w14:textId="77777777" w:rsidR="00EB7B46" w:rsidRPr="00933C95" w:rsidRDefault="00415E62">
      <w:pPr>
        <w:pStyle w:val="BodyText"/>
        <w:spacing w:after="120"/>
      </w:pPr>
      <w:r>
        <w:t>El Sistema de salud seguirá las siguientes pautas para los cobros de pagos particulares:</w:t>
      </w:r>
    </w:p>
    <w:p w14:paraId="62B46E59" w14:textId="77777777" w:rsidR="00EB7B46" w:rsidRPr="00933C95" w:rsidRDefault="00415E62" w:rsidP="005E085F">
      <w:pPr>
        <w:pStyle w:val="BodyText"/>
        <w:numPr>
          <w:ilvl w:val="0"/>
          <w:numId w:val="2"/>
        </w:numPr>
        <w:ind w:left="960" w:hanging="360"/>
      </w:pPr>
      <w:bookmarkStart w:id="20" w:name="bookmark20"/>
      <w:bookmarkEnd w:id="20"/>
      <w:r>
        <w:t>El objetivo del Sistema de salud es usar un proceso de facturación y cobro que sea claro, conciso y adecuado.</w:t>
      </w:r>
    </w:p>
    <w:p w14:paraId="3EFA2952" w14:textId="77777777" w:rsidR="00EB7B46" w:rsidRPr="00933C95" w:rsidRDefault="00415E62" w:rsidP="005E085F">
      <w:pPr>
        <w:pStyle w:val="BodyText"/>
        <w:numPr>
          <w:ilvl w:val="0"/>
          <w:numId w:val="2"/>
        </w:numPr>
        <w:ind w:left="960" w:hanging="360"/>
      </w:pPr>
      <w:bookmarkStart w:id="21" w:name="bookmark21"/>
      <w:bookmarkEnd w:id="21"/>
      <w:r>
        <w:t>El Sistema de salud trabajará con los solicitantes de la FAP para ofrecer asistencia financiera o establecer un plan de pagos razonable.</w:t>
      </w:r>
    </w:p>
    <w:p w14:paraId="1E0FF23A" w14:textId="77777777" w:rsidR="00EB7B46" w:rsidRPr="005E085F" w:rsidRDefault="00415E62" w:rsidP="005E085F">
      <w:pPr>
        <w:pStyle w:val="BodyText"/>
        <w:numPr>
          <w:ilvl w:val="0"/>
          <w:numId w:val="2"/>
        </w:numPr>
        <w:ind w:left="960" w:hanging="360"/>
        <w:rPr>
          <w:spacing w:val="-6"/>
        </w:rPr>
      </w:pPr>
      <w:bookmarkStart w:id="22" w:name="bookmark22"/>
      <w:bookmarkEnd w:id="22"/>
      <w:r w:rsidRPr="005E085F">
        <w:rPr>
          <w:spacing w:val="-6"/>
        </w:rPr>
        <w:t>El Sistema de salud responderá rápidamente las preguntas de los solicitantes de la FAP sobre sus facturas.</w:t>
      </w:r>
    </w:p>
    <w:p w14:paraId="64CC60D4" w14:textId="77777777" w:rsidR="00EB7B46" w:rsidRPr="00933C95" w:rsidRDefault="00415E62" w:rsidP="005E085F">
      <w:pPr>
        <w:pStyle w:val="BodyText"/>
        <w:numPr>
          <w:ilvl w:val="0"/>
          <w:numId w:val="2"/>
        </w:numPr>
        <w:ind w:left="960" w:hanging="360"/>
      </w:pPr>
      <w:bookmarkStart w:id="23" w:name="bookmark23"/>
      <w:bookmarkEnd w:id="23"/>
      <w:r>
        <w:t>El Sistema de salud proporcionará la responsabilidad financiera del paciente estimada por los servicios según lo soliciten los posibles solicitantes de la FAP.</w:t>
      </w:r>
    </w:p>
    <w:p w14:paraId="0FAB82FB" w14:textId="77777777" w:rsidR="00EB7B46" w:rsidRPr="00933C95" w:rsidRDefault="00415E62" w:rsidP="005E085F">
      <w:pPr>
        <w:pStyle w:val="BodyText"/>
        <w:numPr>
          <w:ilvl w:val="0"/>
          <w:numId w:val="2"/>
        </w:numPr>
        <w:spacing w:line="276" w:lineRule="auto"/>
        <w:ind w:left="960" w:hanging="360"/>
      </w:pPr>
      <w:bookmarkStart w:id="24" w:name="bookmark24"/>
      <w:bookmarkEnd w:id="24"/>
      <w:r>
        <w:t>El Sistema de salud proporcionará la información de los cargos detallada a los solicitantes actuales cuando la pidan antes de dos días hábiles luego de generados los estados de cuentas de los pacientes.</w:t>
      </w:r>
    </w:p>
    <w:p w14:paraId="41CC821E" w14:textId="77777777" w:rsidR="00EB7B46" w:rsidRPr="00933C95" w:rsidRDefault="00415E62" w:rsidP="005E085F">
      <w:pPr>
        <w:pStyle w:val="BodyText"/>
        <w:numPr>
          <w:ilvl w:val="0"/>
          <w:numId w:val="2"/>
        </w:numPr>
        <w:spacing w:after="100"/>
        <w:ind w:left="960" w:hanging="360"/>
      </w:pPr>
      <w:bookmarkStart w:id="25" w:name="bookmark25"/>
      <w:bookmarkEnd w:id="25"/>
      <w:r>
        <w:t>El Sistema de salud definirá con un contrato los estándares y el alcance de las prácticas y pautas a usar por las agencias de cobro externas que actúen en su nombre.</w:t>
      </w:r>
    </w:p>
    <w:p w14:paraId="5DA895CF" w14:textId="77777777" w:rsidR="00EB7B46" w:rsidRPr="00933C95" w:rsidRDefault="00415E62" w:rsidP="005E085F">
      <w:pPr>
        <w:pStyle w:val="BodyText"/>
        <w:numPr>
          <w:ilvl w:val="0"/>
          <w:numId w:val="2"/>
        </w:numPr>
        <w:tabs>
          <w:tab w:val="left" w:pos="945"/>
        </w:tabs>
        <w:spacing w:line="276" w:lineRule="auto"/>
        <w:ind w:left="960" w:hanging="360"/>
      </w:pPr>
      <w:bookmarkStart w:id="26" w:name="bookmark26"/>
      <w:bookmarkEnd w:id="26"/>
      <w:r>
        <w:lastRenderedPageBreak/>
        <w:t>En lo relacionado con las prácticas de cobro de deudas, el Sistema de salud se adhiere a la Ley de Prácticas Justas en el Cobro de Deudas.</w:t>
      </w:r>
    </w:p>
    <w:p w14:paraId="27880908" w14:textId="77777777" w:rsidR="00EB7B46" w:rsidRPr="00933C95" w:rsidRDefault="00415E62" w:rsidP="005E085F">
      <w:pPr>
        <w:pStyle w:val="BodyText"/>
        <w:numPr>
          <w:ilvl w:val="0"/>
          <w:numId w:val="2"/>
        </w:numPr>
        <w:tabs>
          <w:tab w:val="left" w:pos="945"/>
        </w:tabs>
        <w:ind w:left="960" w:hanging="360"/>
      </w:pPr>
      <w:bookmarkStart w:id="27" w:name="bookmark27"/>
      <w:bookmarkEnd w:id="27"/>
      <w:r>
        <w:t>El Sistema de salud no tomará acciones legales por el incumplimiento del pago de facturas contra pacientes que hayan demostrado claramente que no tienen suficientes ingresos ni activos para cumplir con sus obligaciones financieras. El Sistema de salud puede tomar acciones legales, lo que incluye procurar sentencias que puedan llevar al embargo de salarios o confiscación de bienes o retención de embargos, cuando haya evidencia suficiente de que el paciente o la parte responsable tiene los ingresos o activos para cumplir con sus obligaciones. Sin embargo, el Sistema de salud no forzará la venta o ejecución hipotecaria de los activos de un paciente, como de su casa o automóvil, para pagar las facturas médicas adeudadas ni embargará tales propiedades.</w:t>
      </w:r>
    </w:p>
    <w:p w14:paraId="28CF41CA" w14:textId="77777777" w:rsidR="00EB7B46" w:rsidRPr="00933C95" w:rsidRDefault="00415E62" w:rsidP="005E085F">
      <w:pPr>
        <w:pStyle w:val="BodyText"/>
        <w:numPr>
          <w:ilvl w:val="0"/>
          <w:numId w:val="2"/>
        </w:numPr>
        <w:tabs>
          <w:tab w:val="left" w:pos="938"/>
        </w:tabs>
        <w:ind w:left="960" w:hanging="360"/>
      </w:pPr>
      <w:bookmarkStart w:id="28" w:name="bookmark28"/>
      <w:bookmarkEnd w:id="28"/>
      <w:r>
        <w:t>El Sistema de salud no usará las órdenes de arresto para solicitar al paciente o parte responsable que comparezca ante la justicia.</w:t>
      </w:r>
    </w:p>
    <w:p w14:paraId="321B999B" w14:textId="77777777" w:rsidR="00EB7B46" w:rsidRPr="00933C95" w:rsidRDefault="00415E62" w:rsidP="005E085F">
      <w:pPr>
        <w:pStyle w:val="BodyText"/>
        <w:numPr>
          <w:ilvl w:val="0"/>
          <w:numId w:val="2"/>
        </w:numPr>
        <w:tabs>
          <w:tab w:val="left" w:pos="938"/>
        </w:tabs>
        <w:spacing w:line="276" w:lineRule="auto"/>
        <w:ind w:left="960" w:hanging="360"/>
      </w:pPr>
      <w:bookmarkStart w:id="29" w:name="bookmark29"/>
      <w:bookmarkEnd w:id="29"/>
      <w:r>
        <w:t>El Sistema de salud no informará automáticamente sobre las cuentas impagas a las agencias de información crediticia pero se reserva el derecho de informar tales cuentas a tales agencias.</w:t>
      </w:r>
    </w:p>
    <w:p w14:paraId="67E0A420" w14:textId="77777777" w:rsidR="00EB7B46" w:rsidRPr="00933C95" w:rsidRDefault="00415E62" w:rsidP="005E085F">
      <w:pPr>
        <w:pStyle w:val="BodyText"/>
        <w:numPr>
          <w:ilvl w:val="0"/>
          <w:numId w:val="2"/>
        </w:numPr>
        <w:tabs>
          <w:tab w:val="left" w:pos="938"/>
        </w:tabs>
        <w:ind w:left="960" w:hanging="360"/>
      </w:pPr>
      <w:bookmarkStart w:id="30" w:name="bookmark30"/>
      <w:bookmarkEnd w:id="30"/>
      <w:r>
        <w:t>El Sistema de salud les proporcionará un aviso sobre la disponibilidad de una Estimación de buena fe para los pacientes de pago particular. El Sistema de salud les proporcionará a los pacientes de pago particular una Estimación de buena fe en el momento de programar servicios con al menos tres (3) días hábiles de anticipación o cuando se solicite.</w:t>
      </w:r>
    </w:p>
    <w:p w14:paraId="30055125" w14:textId="77777777" w:rsidR="00EB7B46" w:rsidRPr="00933C95" w:rsidRDefault="00415E62" w:rsidP="005E085F">
      <w:pPr>
        <w:pStyle w:val="BodyText"/>
        <w:numPr>
          <w:ilvl w:val="0"/>
          <w:numId w:val="2"/>
        </w:numPr>
        <w:tabs>
          <w:tab w:val="left" w:pos="938"/>
        </w:tabs>
        <w:spacing w:after="140"/>
        <w:ind w:left="960" w:hanging="360"/>
      </w:pPr>
      <w:bookmarkStart w:id="31" w:name="bookmark31"/>
      <w:bookmarkEnd w:id="31"/>
      <w:r>
        <w:t>El Sistema de salud no enviará deudas a cobranzas ni adjuntará intereses en el caso de que el paciente apele una factura según el Proceso de resolución de disputas entre el paciente y el proveedor (PPDR) según la NSA hasta la finalización del PPDR.</w:t>
      </w:r>
    </w:p>
    <w:p w14:paraId="5706B309" w14:textId="77777777" w:rsidR="00EB7B46" w:rsidRPr="00933C95" w:rsidRDefault="00415E62" w:rsidP="00BD5A41">
      <w:pPr>
        <w:pStyle w:val="BodyText"/>
        <w:spacing w:before="240" w:after="140"/>
      </w:pPr>
      <w:r>
        <w:rPr>
          <w:b/>
          <w:bCs/>
        </w:rPr>
        <w:t>PROCEDIMIENTOS</w:t>
      </w:r>
      <w:r w:rsidR="001F2B17" w:rsidRPr="001F2B17">
        <w:rPr>
          <w:noProof/>
        </w:rPr>
        <w:t xml:space="preserve"> </w:t>
      </w:r>
      <w:r w:rsidR="001F2B17">
        <w:rPr>
          <w:noProof/>
          <w:lang w:val="es-UY" w:eastAsia="es-UY" w:bidi="ar-SA"/>
        </w:rPr>
        <mc:AlternateContent>
          <mc:Choice Requires="wps">
            <w:drawing>
              <wp:anchor distT="45720" distB="45720" distL="114300" distR="114300" simplePos="0" relativeHeight="251666432" behindDoc="1" locked="0" layoutInCell="1" allowOverlap="1" wp14:anchorId="4F435879" wp14:editId="65A6016E">
                <wp:simplePos x="0" y="0"/>
                <wp:positionH relativeFrom="column">
                  <wp:posOffset>-10795</wp:posOffset>
                </wp:positionH>
                <wp:positionV relativeFrom="paragraph">
                  <wp:posOffset>-723265</wp:posOffset>
                </wp:positionV>
                <wp:extent cx="6317673" cy="2101933"/>
                <wp:effectExtent l="0" t="0" r="698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00B3D6BE" w14:textId="77777777" w:rsidR="001F2B17" w:rsidRPr="00C745D7" w:rsidRDefault="001F2B17" w:rsidP="001F2B1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35879" id="_x0000_s1029" type="#_x0000_t202" style="position:absolute;margin-left:-.85pt;margin-top:-56.95pt;width:497.45pt;height:165.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" filled="f" stroked="f">
                <v:textbox inset="0,0,0,0">
                  <w:txbxContent>
                    <w:p w14:paraId="00B3D6BE" w14:textId="77777777" w:rsidR="001F2B17" w:rsidRPr="00C745D7" w:rsidRDefault="001F2B17" w:rsidP="001F2B17">
                      <w:pPr>
                        <w:pStyle w:val="Bodytext30"/>
                      </w:pPr>
                      <w:r>
                        <w:t>COPIA</w:t>
                      </w:r>
                    </w:p>
                  </w:txbxContent>
                </v:textbox>
              </v:shape>
            </w:pict>
          </mc:Fallback>
        </mc:AlternateContent>
      </w:r>
    </w:p>
    <w:p w14:paraId="370F3BC2" w14:textId="77777777" w:rsidR="00EB7B46" w:rsidRPr="00933C95" w:rsidRDefault="00415E62">
      <w:pPr>
        <w:pStyle w:val="BodyText"/>
        <w:numPr>
          <w:ilvl w:val="0"/>
          <w:numId w:val="3"/>
        </w:numPr>
        <w:tabs>
          <w:tab w:val="left" w:pos="938"/>
        </w:tabs>
        <w:ind w:firstLine="580"/>
        <w:jc w:val="both"/>
      </w:pPr>
      <w:bookmarkStart w:id="32" w:name="bookmark32"/>
      <w:bookmarkEnd w:id="32"/>
      <w:r>
        <w:t>En el momento del servicio</w:t>
      </w:r>
    </w:p>
    <w:p w14:paraId="5E7452FF" w14:textId="77777777" w:rsidR="00EB7B46" w:rsidRPr="00933C95" w:rsidRDefault="00415E62">
      <w:pPr>
        <w:pStyle w:val="BodyText"/>
        <w:numPr>
          <w:ilvl w:val="0"/>
          <w:numId w:val="4"/>
        </w:numPr>
        <w:tabs>
          <w:tab w:val="left" w:pos="1871"/>
        </w:tabs>
        <w:ind w:left="1540"/>
      </w:pPr>
      <w:bookmarkStart w:id="33" w:name="bookmark33"/>
      <w:bookmarkEnd w:id="33"/>
      <w:r>
        <w:t>Se espera que los pacientes paguen los copagos y deducibles al momento del servicio.</w:t>
      </w:r>
    </w:p>
    <w:p w14:paraId="2FA0F274" w14:textId="77777777" w:rsidR="00EB7B46" w:rsidRPr="00933C95" w:rsidRDefault="00415E62">
      <w:pPr>
        <w:pStyle w:val="BodyText"/>
        <w:numPr>
          <w:ilvl w:val="0"/>
          <w:numId w:val="4"/>
        </w:numPr>
        <w:tabs>
          <w:tab w:val="left" w:pos="1871"/>
        </w:tabs>
        <w:ind w:left="1540"/>
      </w:pPr>
      <w:bookmarkStart w:id="34" w:name="bookmark34"/>
      <w:bookmarkEnd w:id="34"/>
      <w:r>
        <w:t>Se espera que los pacientes de pago particular paguen de acuerdo con estas pautas:</w:t>
      </w:r>
    </w:p>
    <w:p w14:paraId="4C82229C" w14:textId="77777777" w:rsidR="00EB7B46" w:rsidRPr="00933C95" w:rsidRDefault="00415E62">
      <w:pPr>
        <w:pStyle w:val="BodyText"/>
        <w:numPr>
          <w:ilvl w:val="0"/>
          <w:numId w:val="5"/>
        </w:numPr>
        <w:tabs>
          <w:tab w:val="left" w:pos="2801"/>
        </w:tabs>
        <w:ind w:left="2800" w:hanging="340"/>
      </w:pPr>
      <w:bookmarkStart w:id="35" w:name="bookmark35"/>
      <w:bookmarkEnd w:id="35"/>
      <w:r>
        <w:rPr>
          <w:u w:val="single"/>
        </w:rPr>
        <w:t>Para servicios médicamente necesarios</w:t>
      </w:r>
      <w:r>
        <w:t>: El monto estimado del paciente debe pagarse en el momento del servicio. Para tratamiento y procedimientos quirúrgicos planificados, se espera que los pacientes de pago particular paguen el 50 % del monto estimado exigible al momento del servicio y aseguren el saldo restante de acuerdo con las pautas de arreglos de pagos del sistema de salud, según se detalle en el Anexo A de la Política de aprobación financiera.</w:t>
      </w:r>
    </w:p>
    <w:p w14:paraId="377685AD" w14:textId="77777777" w:rsidR="00EB7B46" w:rsidRPr="00933C95" w:rsidRDefault="00415E62">
      <w:pPr>
        <w:pStyle w:val="BodyText"/>
        <w:numPr>
          <w:ilvl w:val="0"/>
          <w:numId w:val="5"/>
        </w:numPr>
        <w:tabs>
          <w:tab w:val="left" w:pos="2801"/>
        </w:tabs>
        <w:spacing w:after="140" w:line="283" w:lineRule="auto"/>
        <w:ind w:left="2800" w:hanging="340"/>
      </w:pPr>
      <w:bookmarkStart w:id="36" w:name="bookmark36"/>
      <w:bookmarkEnd w:id="36"/>
      <w:r>
        <w:rPr>
          <w:u w:val="single"/>
        </w:rPr>
        <w:t>Para servicios generalmente no cubiertos por los estándares de la industria o que representen precios preestablecidos</w:t>
      </w:r>
      <w:r>
        <w:t>: El monto estimado total debe pagarse en el momento de la programación o 15 días antes del procedimiento, lo que suceda primero.</w:t>
      </w:r>
    </w:p>
    <w:p w14:paraId="58F310DE" w14:textId="77777777" w:rsidR="00EB7B46" w:rsidRPr="00933C95" w:rsidRDefault="00415E62">
      <w:pPr>
        <w:pStyle w:val="BodyText"/>
        <w:numPr>
          <w:ilvl w:val="0"/>
          <w:numId w:val="4"/>
        </w:numPr>
        <w:tabs>
          <w:tab w:val="left" w:pos="1871"/>
        </w:tabs>
        <w:ind w:left="1540"/>
      </w:pPr>
      <w:bookmarkStart w:id="37" w:name="bookmark37"/>
      <w:bookmarkEnd w:id="37"/>
      <w:r>
        <w:t>Todas las autorizaciones o remisiones se deben pagar al momento del servicio.</w:t>
      </w:r>
    </w:p>
    <w:p w14:paraId="7FDAF860" w14:textId="77777777" w:rsidR="00EB7B46" w:rsidRPr="00933C95" w:rsidRDefault="00415E62">
      <w:pPr>
        <w:pStyle w:val="BodyText"/>
        <w:numPr>
          <w:ilvl w:val="0"/>
          <w:numId w:val="4"/>
        </w:numPr>
        <w:tabs>
          <w:tab w:val="left" w:pos="1871"/>
        </w:tabs>
        <w:ind w:left="1880" w:hanging="340"/>
      </w:pPr>
      <w:bookmarkStart w:id="38" w:name="bookmark38"/>
      <w:bookmarkEnd w:id="38"/>
      <w:r>
        <w:t>Es responsabilidad del paciente obtener autorizaciones para las remisiones del seguro de sus médicos de atención primaria.</w:t>
      </w:r>
    </w:p>
    <w:p w14:paraId="0E777204" w14:textId="77777777" w:rsidR="00EB7B46" w:rsidRPr="00933C95" w:rsidRDefault="00415E62">
      <w:pPr>
        <w:pStyle w:val="BodyText"/>
        <w:numPr>
          <w:ilvl w:val="0"/>
          <w:numId w:val="4"/>
        </w:numPr>
        <w:tabs>
          <w:tab w:val="left" w:pos="1871"/>
        </w:tabs>
        <w:spacing w:after="140" w:line="276" w:lineRule="auto"/>
        <w:ind w:left="1880" w:hanging="340"/>
      </w:pPr>
      <w:bookmarkStart w:id="39" w:name="bookmark39"/>
      <w:bookmarkEnd w:id="39"/>
      <w:r>
        <w:t>La remisión debe especificar el nombre del proveedor que verá el paciente y el rango de tiempo que cubrirá la remisión.</w:t>
      </w:r>
    </w:p>
    <w:p w14:paraId="175DAF97" w14:textId="6B550F2F" w:rsidR="00EB7B46" w:rsidRDefault="00415E62">
      <w:pPr>
        <w:pStyle w:val="BodyText"/>
        <w:numPr>
          <w:ilvl w:val="0"/>
          <w:numId w:val="3"/>
        </w:numPr>
        <w:tabs>
          <w:tab w:val="left" w:pos="938"/>
        </w:tabs>
        <w:ind w:firstLine="580"/>
      </w:pPr>
      <w:bookmarkStart w:id="40" w:name="bookmark40"/>
      <w:bookmarkEnd w:id="40"/>
      <w:r>
        <w:t>Estados de cuenta y seguimiento del garante en la Oficina comercial única (SBO)</w:t>
      </w:r>
    </w:p>
    <w:p w14:paraId="39346B18" w14:textId="77777777" w:rsidR="00BD5A41" w:rsidRPr="00933C95" w:rsidRDefault="00BD5A41" w:rsidP="00BD5A41">
      <w:pPr>
        <w:pStyle w:val="BodyText"/>
        <w:tabs>
          <w:tab w:val="left" w:pos="938"/>
        </w:tabs>
        <w:ind w:left="580"/>
      </w:pPr>
    </w:p>
    <w:p w14:paraId="0025E6D0" w14:textId="77777777" w:rsidR="00EB7B46" w:rsidRPr="00933C95" w:rsidRDefault="00415E62">
      <w:pPr>
        <w:pStyle w:val="BodyText"/>
        <w:numPr>
          <w:ilvl w:val="0"/>
          <w:numId w:val="6"/>
        </w:numPr>
        <w:tabs>
          <w:tab w:val="left" w:pos="1879"/>
        </w:tabs>
        <w:spacing w:line="276" w:lineRule="auto"/>
        <w:ind w:left="1880" w:hanging="340"/>
      </w:pPr>
      <w:bookmarkStart w:id="41" w:name="bookmark41"/>
      <w:bookmarkEnd w:id="41"/>
      <w:r>
        <w:lastRenderedPageBreak/>
        <w:t>Los estados de cuenta generalmente se generan a los 5 días hábiles de la determinación de la responsabilidad del paciente.</w:t>
      </w:r>
    </w:p>
    <w:p w14:paraId="49145A75" w14:textId="77777777" w:rsidR="00EB7B46" w:rsidRPr="00933C95" w:rsidRDefault="00415E62">
      <w:pPr>
        <w:pStyle w:val="BodyText"/>
        <w:numPr>
          <w:ilvl w:val="0"/>
          <w:numId w:val="6"/>
        </w:numPr>
        <w:tabs>
          <w:tab w:val="left" w:pos="1884"/>
        </w:tabs>
        <w:ind w:left="1880" w:hanging="340"/>
      </w:pPr>
      <w:bookmarkStart w:id="42" w:name="bookmark42"/>
      <w:bookmarkEnd w:id="42"/>
      <w:r>
        <w:t>Se envía un mínimo de 4 estados de cuenta en un ciclo mensual de saldos impagos.</w:t>
      </w:r>
    </w:p>
    <w:p w14:paraId="2CDF0A61" w14:textId="77777777" w:rsidR="00EB7B46" w:rsidRPr="00933C95" w:rsidRDefault="00415E62">
      <w:pPr>
        <w:pStyle w:val="BodyText"/>
        <w:numPr>
          <w:ilvl w:val="0"/>
          <w:numId w:val="6"/>
        </w:numPr>
        <w:tabs>
          <w:tab w:val="left" w:pos="1884"/>
        </w:tabs>
        <w:spacing w:after="140"/>
        <w:ind w:left="1880" w:hanging="340"/>
      </w:pPr>
      <w:bookmarkStart w:id="43" w:name="bookmark43"/>
      <w:bookmarkEnd w:id="43"/>
      <w:r>
        <w:t>Las cuentas quedan con el equipo de seguimiento del garante en la SBO por un mínimo de 120 días basado en el ciclo del estado de cuenta.</w:t>
      </w:r>
    </w:p>
    <w:p w14:paraId="039E053B" w14:textId="77777777" w:rsidR="00EB7B46" w:rsidRPr="00933C95" w:rsidRDefault="00415E62">
      <w:pPr>
        <w:pStyle w:val="BodyText"/>
        <w:numPr>
          <w:ilvl w:val="0"/>
          <w:numId w:val="3"/>
        </w:numPr>
        <w:tabs>
          <w:tab w:val="left" w:pos="963"/>
        </w:tabs>
        <w:ind w:firstLine="600"/>
        <w:jc w:val="both"/>
      </w:pPr>
      <w:bookmarkStart w:id="44" w:name="bookmark44"/>
      <w:bookmarkEnd w:id="44"/>
      <w:r>
        <w:t>Descuento de pagos particulares</w:t>
      </w:r>
    </w:p>
    <w:p w14:paraId="603B61AD" w14:textId="77777777" w:rsidR="00EB7B46" w:rsidRPr="00933C95" w:rsidRDefault="00415E62" w:rsidP="001F2B17">
      <w:pPr>
        <w:pStyle w:val="BodyText"/>
        <w:numPr>
          <w:ilvl w:val="0"/>
          <w:numId w:val="7"/>
        </w:numPr>
        <w:ind w:left="1880" w:hanging="340"/>
      </w:pPr>
      <w:bookmarkStart w:id="45" w:name="bookmark45"/>
      <w:bookmarkEnd w:id="45"/>
      <w:r>
        <w:t>Los pacientes sin seguro o cuyo seguro esté fuera de la red deberán pagar los servicios prestados. Si no pueden pagar, se espera que cooperen con el programa de asistencia financiera del Sistema de salud.</w:t>
      </w:r>
    </w:p>
    <w:p w14:paraId="611F215B" w14:textId="3D822B9D" w:rsidR="00EB7B46" w:rsidRPr="00933C95" w:rsidRDefault="00415E62" w:rsidP="001F2B17">
      <w:pPr>
        <w:pStyle w:val="BodyText"/>
        <w:numPr>
          <w:ilvl w:val="0"/>
          <w:numId w:val="7"/>
        </w:numPr>
        <w:ind w:left="1880" w:hanging="340"/>
      </w:pPr>
      <w:bookmarkStart w:id="46" w:name="bookmark46"/>
      <w:bookmarkEnd w:id="46"/>
      <w:r>
        <w:t>Se aplica automáticamente un descuento de pago particular del 80</w:t>
      </w:r>
      <w:r w:rsidR="003409F4">
        <w:t> </w:t>
      </w:r>
      <w:r>
        <w:t>% a los cargos del hospital. Este descuento es coherente con el enfoque de las cantidades generalmente facturadas (AGB), como se define en la sección 501(r) del código del IRS y se basa en lo que las compañías de seguro consideran "permitido" para los cargos brutos del hospital.</w:t>
      </w:r>
    </w:p>
    <w:p w14:paraId="024F9566" w14:textId="5FDE3F94" w:rsidR="00EB7B46" w:rsidRPr="00933C95" w:rsidRDefault="00415E62" w:rsidP="001F2B17">
      <w:pPr>
        <w:pStyle w:val="BodyText"/>
        <w:numPr>
          <w:ilvl w:val="0"/>
          <w:numId w:val="7"/>
        </w:numPr>
        <w:ind w:left="1880" w:hanging="340"/>
      </w:pPr>
      <w:bookmarkStart w:id="47" w:name="bookmark47"/>
      <w:bookmarkEnd w:id="47"/>
      <w:r>
        <w:t>Se aplica automáticamente un descuento de pago particular del 65</w:t>
      </w:r>
      <w:r w:rsidR="003409F4">
        <w:t> </w:t>
      </w:r>
      <w:r>
        <w:t>% a los cargos de profesionales.</w:t>
      </w:r>
    </w:p>
    <w:p w14:paraId="42232EC4" w14:textId="77777777" w:rsidR="00EB7B46" w:rsidRPr="00933C95" w:rsidRDefault="00415E62" w:rsidP="001F2B17">
      <w:pPr>
        <w:pStyle w:val="BodyText"/>
        <w:numPr>
          <w:ilvl w:val="0"/>
          <w:numId w:val="7"/>
        </w:numPr>
        <w:ind w:left="1880" w:hanging="340"/>
      </w:pPr>
      <w:bookmarkStart w:id="48" w:name="bookmark48"/>
      <w:bookmarkEnd w:id="48"/>
      <w:r>
        <w:t>Los pacientes de pago particular incluyen:</w:t>
      </w:r>
    </w:p>
    <w:p w14:paraId="5AC5DE56" w14:textId="77777777" w:rsidR="00EB7B46" w:rsidRPr="00933C95" w:rsidRDefault="00415E62" w:rsidP="001F2B17">
      <w:pPr>
        <w:pStyle w:val="BodyText"/>
        <w:numPr>
          <w:ilvl w:val="0"/>
          <w:numId w:val="8"/>
        </w:numPr>
        <w:ind w:left="2835" w:hanging="375"/>
      </w:pPr>
      <w:bookmarkStart w:id="49" w:name="bookmark49"/>
      <w:bookmarkEnd w:id="49"/>
      <w:r>
        <w:t>Pacientes sin seguro, sin perjuicio de su residencia</w:t>
      </w:r>
    </w:p>
    <w:p w14:paraId="73EF5E82" w14:textId="77777777" w:rsidR="00EB7B46" w:rsidRPr="001F2B17" w:rsidRDefault="00415E62" w:rsidP="001F2B17">
      <w:pPr>
        <w:pStyle w:val="BodyText"/>
        <w:numPr>
          <w:ilvl w:val="0"/>
          <w:numId w:val="8"/>
        </w:numPr>
        <w:ind w:left="2835" w:hanging="375"/>
        <w:rPr>
          <w:spacing w:val="-4"/>
        </w:rPr>
      </w:pPr>
      <w:bookmarkStart w:id="50" w:name="bookmark50"/>
      <w:bookmarkEnd w:id="50"/>
      <w:r w:rsidRPr="001F2B17">
        <w:rPr>
          <w:spacing w:val="-4"/>
        </w:rPr>
        <w:t>Pacientes con planes de beneficios limitados de Health Share (salud compartida)</w:t>
      </w:r>
    </w:p>
    <w:p w14:paraId="41099631" w14:textId="77777777" w:rsidR="00EB7B46" w:rsidRPr="001F2B17" w:rsidRDefault="00415E62" w:rsidP="001F2B17">
      <w:pPr>
        <w:pStyle w:val="BodyText"/>
        <w:numPr>
          <w:ilvl w:val="0"/>
          <w:numId w:val="8"/>
        </w:numPr>
        <w:spacing w:line="276" w:lineRule="auto"/>
        <w:ind w:left="2835" w:hanging="375"/>
      </w:pPr>
      <w:bookmarkStart w:id="51" w:name="bookmark51"/>
      <w:bookmarkEnd w:id="51"/>
      <w:r w:rsidRPr="001F2B17">
        <w:t>Pacientes con planes de seguro fuera de la red que no proporcionan/cubren beneficios</w:t>
      </w:r>
    </w:p>
    <w:p w14:paraId="27D39E1C" w14:textId="381FF5F5" w:rsidR="00EB7B46" w:rsidRPr="00933C95" w:rsidRDefault="00415E62" w:rsidP="001F2B17">
      <w:pPr>
        <w:pStyle w:val="BodyText"/>
        <w:numPr>
          <w:ilvl w:val="0"/>
          <w:numId w:val="8"/>
        </w:numPr>
        <w:spacing w:after="140"/>
        <w:ind w:left="2835" w:hanging="375"/>
      </w:pPr>
      <w:bookmarkStart w:id="52" w:name="bookmark52"/>
      <w:bookmarkEnd w:id="52"/>
      <w:r>
        <w:t>Pacie</w:t>
      </w:r>
      <w:r w:rsidR="001F2B17">
        <w:rPr>
          <w:noProof/>
          <w:lang w:val="es-UY" w:eastAsia="es-UY" w:bidi="ar-SA"/>
        </w:rPr>
        <mc:AlternateContent>
          <mc:Choice Requires="wps">
            <w:drawing>
              <wp:anchor distT="45720" distB="45720" distL="114300" distR="114300" simplePos="0" relativeHeight="251668480" behindDoc="1" locked="0" layoutInCell="1" allowOverlap="1" wp14:anchorId="2C91D33F" wp14:editId="7161DC25">
                <wp:simplePos x="0" y="0"/>
                <wp:positionH relativeFrom="column">
                  <wp:posOffset>-10795</wp:posOffset>
                </wp:positionH>
                <wp:positionV relativeFrom="paragraph">
                  <wp:posOffset>-534035</wp:posOffset>
                </wp:positionV>
                <wp:extent cx="6317673" cy="2101933"/>
                <wp:effectExtent l="0" t="0" r="698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12DF15E4" w14:textId="77777777" w:rsidR="001F2B17" w:rsidRPr="00C745D7" w:rsidRDefault="001F2B17" w:rsidP="001F2B1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1D33F" id="_x0000_s1030" type="#_x0000_t202" style="position:absolute;left:0;text-align:left;margin-left:-.85pt;margin-top:-42.05pt;width:497.45pt;height:165.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" filled="f" stroked="f">
                <v:textbox inset="0,0,0,0">
                  <w:txbxContent>
                    <w:p w14:paraId="12DF15E4" w14:textId="77777777" w:rsidR="001F2B17" w:rsidRPr="00C745D7" w:rsidRDefault="001F2B17" w:rsidP="001F2B17">
                      <w:pPr>
                        <w:pStyle w:val="Bodytext30"/>
                      </w:pPr>
                      <w:r>
                        <w:t>COPIA</w:t>
                      </w:r>
                    </w:p>
                  </w:txbxContent>
                </v:textbox>
              </v:shape>
            </w:pict>
          </mc:Fallback>
        </mc:AlternateContent>
      </w:r>
      <w:r>
        <w:t>ntes con seguro comercial que eligen no presentar reclamos al seguro</w:t>
      </w:r>
    </w:p>
    <w:p w14:paraId="7C655682" w14:textId="77777777" w:rsidR="00EB7B46" w:rsidRPr="00933C95" w:rsidRDefault="00415E62">
      <w:pPr>
        <w:pStyle w:val="BodyText"/>
        <w:numPr>
          <w:ilvl w:val="0"/>
          <w:numId w:val="7"/>
        </w:numPr>
        <w:tabs>
          <w:tab w:val="left" w:pos="1889"/>
        </w:tabs>
        <w:ind w:left="1540"/>
      </w:pPr>
      <w:bookmarkStart w:id="53" w:name="bookmark53"/>
      <w:bookmarkEnd w:id="53"/>
      <w:r>
        <w:t>Los pacientes no elegibles para el descuento de pago particular incluyen:</w:t>
      </w:r>
    </w:p>
    <w:p w14:paraId="56B4BE39" w14:textId="77777777" w:rsidR="00EB7B46" w:rsidRPr="00933C95" w:rsidRDefault="00415E62" w:rsidP="001F2B17">
      <w:pPr>
        <w:pStyle w:val="BodyText"/>
        <w:numPr>
          <w:ilvl w:val="0"/>
          <w:numId w:val="9"/>
        </w:numPr>
        <w:ind w:left="2835" w:hanging="375"/>
      </w:pPr>
      <w:bookmarkStart w:id="54" w:name="bookmark54"/>
      <w:bookmarkEnd w:id="54"/>
      <w:r>
        <w:t>Pacientes que reciben atención de un Centro de Salud Federalmente Calificado (FQHC)</w:t>
      </w:r>
    </w:p>
    <w:p w14:paraId="6EF27A6E" w14:textId="77777777" w:rsidR="00EB7B46" w:rsidRPr="00933C95" w:rsidRDefault="00415E62" w:rsidP="001F2B17">
      <w:pPr>
        <w:pStyle w:val="BodyText"/>
        <w:numPr>
          <w:ilvl w:val="0"/>
          <w:numId w:val="9"/>
        </w:numPr>
        <w:ind w:left="2835" w:hanging="375"/>
      </w:pPr>
      <w:bookmarkStart w:id="55" w:name="bookmark55"/>
      <w:bookmarkEnd w:id="55"/>
      <w:r>
        <w:t>Pacientes con cobertura dentro de la red que tienen deducibles altos</w:t>
      </w:r>
    </w:p>
    <w:p w14:paraId="674FB31D" w14:textId="77777777" w:rsidR="00EB7B46" w:rsidRPr="00933C95" w:rsidRDefault="00415E62" w:rsidP="001F2B17">
      <w:pPr>
        <w:pStyle w:val="BodyText"/>
        <w:numPr>
          <w:ilvl w:val="0"/>
          <w:numId w:val="9"/>
        </w:numPr>
        <w:ind w:left="2835" w:hanging="375"/>
      </w:pPr>
      <w:bookmarkStart w:id="56" w:name="bookmark56"/>
      <w:bookmarkEnd w:id="56"/>
      <w:r>
        <w:t>Pacientes con aportes limitados de Medicaid altos</w:t>
      </w:r>
    </w:p>
    <w:p w14:paraId="7797419D" w14:textId="77777777" w:rsidR="00EB7B46" w:rsidRPr="00933C95" w:rsidRDefault="00415E62" w:rsidP="001F2B17">
      <w:pPr>
        <w:pStyle w:val="BodyText"/>
        <w:numPr>
          <w:ilvl w:val="0"/>
          <w:numId w:val="9"/>
        </w:numPr>
        <w:ind w:left="2835" w:hanging="375"/>
      </w:pPr>
      <w:bookmarkStart w:id="57" w:name="bookmark57"/>
      <w:bookmarkEnd w:id="57"/>
      <w:r>
        <w:t>Pacientes que reciben procedimientos experimentales y de investigación</w:t>
      </w:r>
    </w:p>
    <w:p w14:paraId="00BD1B53" w14:textId="77777777" w:rsidR="00EB7B46" w:rsidRPr="00933C95" w:rsidRDefault="00415E62" w:rsidP="001F2B17">
      <w:pPr>
        <w:pStyle w:val="BodyText"/>
        <w:numPr>
          <w:ilvl w:val="0"/>
          <w:numId w:val="9"/>
        </w:numPr>
        <w:spacing w:after="140"/>
        <w:ind w:left="2835" w:hanging="375"/>
      </w:pPr>
      <w:bookmarkStart w:id="58" w:name="bookmark58"/>
      <w:bookmarkEnd w:id="58"/>
      <w:r>
        <w:t>Pacientes que reciben servicios generalmente no cubiertos por los estándares de la industria o que representen precios preestablecidos</w:t>
      </w:r>
    </w:p>
    <w:p w14:paraId="71CDF938" w14:textId="77777777" w:rsidR="00EB7B46" w:rsidRPr="00933C95" w:rsidRDefault="00415E62">
      <w:pPr>
        <w:pStyle w:val="BodyText"/>
        <w:numPr>
          <w:ilvl w:val="0"/>
          <w:numId w:val="3"/>
        </w:numPr>
        <w:tabs>
          <w:tab w:val="left" w:pos="963"/>
        </w:tabs>
        <w:ind w:firstLine="600"/>
      </w:pPr>
      <w:bookmarkStart w:id="59" w:name="bookmark59"/>
      <w:bookmarkEnd w:id="59"/>
      <w:r>
        <w:t>Determinación de deuda incobrable y proceso de transferencia</w:t>
      </w:r>
    </w:p>
    <w:p w14:paraId="05DED0C9" w14:textId="77777777" w:rsidR="00EB7B46" w:rsidRPr="00933C95" w:rsidRDefault="00415E62">
      <w:pPr>
        <w:pStyle w:val="BodyText"/>
        <w:numPr>
          <w:ilvl w:val="0"/>
          <w:numId w:val="10"/>
        </w:numPr>
        <w:tabs>
          <w:tab w:val="left" w:pos="1874"/>
        </w:tabs>
        <w:spacing w:line="276" w:lineRule="auto"/>
        <w:ind w:left="1880" w:hanging="340"/>
      </w:pPr>
      <w:bookmarkStart w:id="60" w:name="bookmark60"/>
      <w:bookmarkEnd w:id="60"/>
      <w:r>
        <w:t>Las cuentas califican como deudas incobrables cuando el saldo de la cuenta no asegurada sigue pendiente por un mínimo de 120 días a partir de la fecha del primer estado de cuenta del garante.</w:t>
      </w:r>
    </w:p>
    <w:p w14:paraId="4FFC5C33" w14:textId="77777777" w:rsidR="00EB7B46" w:rsidRPr="00933C95" w:rsidRDefault="00D25DD3">
      <w:pPr>
        <w:pStyle w:val="BodyText"/>
        <w:spacing w:after="140"/>
        <w:ind w:left="2800" w:hanging="320"/>
      </w:pPr>
      <w:r>
        <w:t>a.</w:t>
      </w:r>
      <w:r>
        <w:tab/>
        <w:t>Las cuentas para HME/MyHealth at Home que califican como deudas incobrables necesitarán un formulario de Reconocimiento de deuda incobrable/Solicitud de cancelación completado y aprobado antes de ser enviadas a una agencia.</w:t>
      </w:r>
    </w:p>
    <w:p w14:paraId="1F69FEAD" w14:textId="77777777" w:rsidR="00EB7B46" w:rsidRPr="00933C95" w:rsidRDefault="00415E62">
      <w:pPr>
        <w:pStyle w:val="BodyText"/>
        <w:numPr>
          <w:ilvl w:val="0"/>
          <w:numId w:val="10"/>
        </w:numPr>
        <w:tabs>
          <w:tab w:val="left" w:pos="1884"/>
        </w:tabs>
        <w:ind w:left="1880" w:hanging="340"/>
      </w:pPr>
      <w:bookmarkStart w:id="61" w:name="bookmark61"/>
      <w:bookmarkEnd w:id="61"/>
      <w:r>
        <w:t>Las cuentas de deudas incobrables se trasladan a una agencia de cobranza primaria para hacer un seguimiento adicional a través de procesos automatizados y manuales.</w:t>
      </w:r>
    </w:p>
    <w:p w14:paraId="405BE6C6" w14:textId="77777777" w:rsidR="00EB7B46" w:rsidRPr="00933C95" w:rsidRDefault="00D25DD3" w:rsidP="00D25DD3">
      <w:pPr>
        <w:pStyle w:val="BodyText"/>
        <w:spacing w:after="140"/>
        <w:ind w:left="2800" w:hanging="320"/>
      </w:pPr>
      <w:r>
        <w:t>a.</w:t>
      </w:r>
      <w:r>
        <w:tab/>
        <w:t>Las agencias de cobranza están autorizadas a enviar cartas y hacer llamadas telefónicas salientes para el cobro eficaz de una deuda incobrable.</w:t>
      </w:r>
    </w:p>
    <w:p w14:paraId="20B10F0D" w14:textId="77777777" w:rsidR="00EB7B46" w:rsidRPr="00933C95" w:rsidRDefault="00D25DD3" w:rsidP="00D25DD3">
      <w:pPr>
        <w:pStyle w:val="BodyText"/>
        <w:spacing w:after="140"/>
        <w:ind w:left="2800" w:hanging="320"/>
      </w:pPr>
      <w:r>
        <w:lastRenderedPageBreak/>
        <w:t>b.</w:t>
      </w:r>
      <w:r>
        <w:tab/>
        <w:t>Las agencias de cobranza del Sistema de salud no denuncian a los pacientes a las agencias de información crediticia.</w:t>
      </w:r>
    </w:p>
    <w:p w14:paraId="439B2663" w14:textId="77777777" w:rsidR="00EB7B46" w:rsidRPr="00933C95" w:rsidRDefault="00415E62">
      <w:pPr>
        <w:pStyle w:val="BodyText"/>
        <w:spacing w:after="120" w:line="298" w:lineRule="auto"/>
      </w:pPr>
      <w:r>
        <w:rPr>
          <w:b/>
          <w:bCs/>
        </w:rPr>
        <w:t>REQUISITOS NORMATIVOS</w:t>
      </w:r>
    </w:p>
    <w:p w14:paraId="321C7470" w14:textId="77777777" w:rsidR="00EB7B46" w:rsidRPr="00933C95" w:rsidRDefault="00415E62">
      <w:pPr>
        <w:pStyle w:val="BodyText"/>
        <w:spacing w:after="40" w:line="312" w:lineRule="auto"/>
      </w:pPr>
      <w:r>
        <w:t>El Sistema de salud cumplirá con todas las leyes, normas y reglamentos locales, estatales y federales que puedan aplicar a las actividades realizadas de acuerdo con esta política.</w:t>
      </w:r>
    </w:p>
    <w:p w14:paraId="08ABC9AD" w14:textId="77777777" w:rsidR="00EB7B46" w:rsidRPr="00933C95" w:rsidRDefault="00415E62">
      <w:pPr>
        <w:pStyle w:val="Heading20"/>
        <w:keepNext/>
        <w:keepLines/>
        <w:spacing w:after="120"/>
      </w:pPr>
      <w:bookmarkStart w:id="62" w:name="bookmark62"/>
      <w:bookmarkStart w:id="63" w:name="bookmark63"/>
      <w:bookmarkStart w:id="64" w:name="bookmark64"/>
      <w:r>
        <w:t>REFERENCIAS:</w:t>
      </w:r>
      <w:bookmarkEnd w:id="62"/>
      <w:bookmarkEnd w:id="63"/>
      <w:bookmarkEnd w:id="64"/>
    </w:p>
    <w:p w14:paraId="4164B549" w14:textId="77777777" w:rsidR="00EB7B46" w:rsidRPr="00933C95" w:rsidRDefault="00415E62">
      <w:pPr>
        <w:pStyle w:val="BodyText"/>
        <w:spacing w:after="40" w:line="298" w:lineRule="auto"/>
      </w:pPr>
      <w:r>
        <w:rPr>
          <w:i/>
          <w:iCs/>
        </w:rPr>
        <w:t>Esta sección se dejó en blanco intencionadamente.</w:t>
      </w:r>
    </w:p>
    <w:p w14:paraId="4F8B7747" w14:textId="77777777" w:rsidR="00EB7B46" w:rsidRPr="00933C95" w:rsidRDefault="00415E62">
      <w:pPr>
        <w:pStyle w:val="Heading20"/>
        <w:keepNext/>
        <w:keepLines/>
        <w:spacing w:after="120"/>
      </w:pPr>
      <w:bookmarkStart w:id="65" w:name="bookmark65"/>
      <w:bookmarkStart w:id="66" w:name="bookmark66"/>
      <w:bookmarkStart w:id="67" w:name="bookmark67"/>
      <w:r>
        <w:t>DOCUMENTOS JUSTIFICATIVOS:</w:t>
      </w:r>
      <w:bookmarkEnd w:id="65"/>
      <w:bookmarkEnd w:id="66"/>
      <w:bookmarkEnd w:id="67"/>
    </w:p>
    <w:p w14:paraId="346BBCC1" w14:textId="77777777" w:rsidR="00EB7B46" w:rsidRPr="00933C95" w:rsidRDefault="00415E62">
      <w:pPr>
        <w:pStyle w:val="BodyText"/>
        <w:spacing w:after="120" w:line="298" w:lineRule="auto"/>
      </w:pPr>
      <w:r>
        <w:t>Cobros de pagos particulares SBO 100</w:t>
      </w:r>
    </w:p>
    <w:p w14:paraId="2435096A" w14:textId="77777777" w:rsidR="00EB7B46" w:rsidRPr="00933C95" w:rsidRDefault="00415E62">
      <w:pPr>
        <w:pStyle w:val="BodyText"/>
        <w:spacing w:after="120" w:line="298" w:lineRule="auto"/>
      </w:pPr>
      <w:r>
        <w:t>Calificaciones para deudas incobrables</w:t>
      </w:r>
    </w:p>
    <w:p w14:paraId="21B6DE0F" w14:textId="77777777" w:rsidR="00EB7B46" w:rsidRPr="00933C95" w:rsidRDefault="001F2B17">
      <w:pPr>
        <w:pStyle w:val="BodyText"/>
        <w:spacing w:after="40" w:line="298" w:lineRule="auto"/>
      </w:pPr>
      <w:r>
        <w:rPr>
          <w:noProof/>
          <w:lang w:val="es-UY" w:eastAsia="es-UY" w:bidi="ar-SA"/>
        </w:rPr>
        <mc:AlternateContent>
          <mc:Choice Requires="wps">
            <w:drawing>
              <wp:anchor distT="45720" distB="45720" distL="114300" distR="114300" simplePos="0" relativeHeight="251670528" behindDoc="1" locked="0" layoutInCell="1" allowOverlap="1" wp14:anchorId="5247637D" wp14:editId="17C08968">
                <wp:simplePos x="0" y="0"/>
                <wp:positionH relativeFrom="column">
                  <wp:posOffset>-10795</wp:posOffset>
                </wp:positionH>
                <wp:positionV relativeFrom="paragraph">
                  <wp:posOffset>125359</wp:posOffset>
                </wp:positionV>
                <wp:extent cx="6317673" cy="2101933"/>
                <wp:effectExtent l="0" t="0" r="698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1F35CF84" w14:textId="77777777" w:rsidR="001F2B17" w:rsidRPr="00C745D7" w:rsidRDefault="001F2B17" w:rsidP="001F2B1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7637D" id="_x0000_s1031" type="#_x0000_t202" style="position:absolute;margin-left:-.85pt;margin-top:9.85pt;width:497.45pt;height:165.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" filled="f" stroked="f">
                <v:textbox inset="0,0,0,0">
                  <w:txbxContent>
                    <w:p w14:paraId="1F35CF84" w14:textId="77777777" w:rsidR="001F2B17" w:rsidRPr="00C745D7" w:rsidRDefault="001F2B17" w:rsidP="001F2B17">
                      <w:pPr>
                        <w:pStyle w:val="Bodytext30"/>
                      </w:pPr>
                      <w:r>
                        <w:t>COPIA</w:t>
                      </w:r>
                    </w:p>
                  </w:txbxContent>
                </v:textbox>
              </v:shape>
            </w:pict>
          </mc:Fallback>
        </mc:AlternateContent>
      </w:r>
      <w:r w:rsidR="00415E62">
        <w:t xml:space="preserve">MyHealth at Home, Sección de reconocimiento de deuda incobrable, solicitud de cancelación </w:t>
      </w:r>
      <w:r w:rsidR="00415E62">
        <w:rPr>
          <w:b/>
          <w:bCs/>
        </w:rPr>
        <w:t>(Ver adjunto)</w:t>
      </w:r>
    </w:p>
    <w:p w14:paraId="7F71A1EA" w14:textId="77777777" w:rsidR="00EB7B46" w:rsidRPr="00933C95" w:rsidRDefault="00415E62">
      <w:pPr>
        <w:pStyle w:val="Heading20"/>
        <w:keepNext/>
        <w:keepLines/>
        <w:spacing w:after="120"/>
      </w:pPr>
      <w:bookmarkStart w:id="68" w:name="bookmark68"/>
      <w:bookmarkStart w:id="69" w:name="bookmark69"/>
      <w:bookmarkStart w:id="70" w:name="bookmark70"/>
      <w:r>
        <w:t>REVISADO/APROBADO POR:</w:t>
      </w:r>
      <w:bookmarkEnd w:id="68"/>
      <w:bookmarkEnd w:id="69"/>
      <w:bookmarkEnd w:id="70"/>
    </w:p>
    <w:p w14:paraId="455D7E40" w14:textId="77777777" w:rsidR="00EB7B46" w:rsidRPr="00933C95" w:rsidRDefault="00415E62">
      <w:pPr>
        <w:pStyle w:val="BodyText"/>
        <w:spacing w:after="120" w:line="298" w:lineRule="auto"/>
      </w:pPr>
      <w:r>
        <w:t>Vicepresidente - Ciclo de ingresos, Grupo de trabajo de autorización financiera</w:t>
      </w:r>
    </w:p>
    <w:p w14:paraId="2EC13AD6" w14:textId="77777777" w:rsidR="00EB7B46" w:rsidRPr="00933C95" w:rsidRDefault="00415E62">
      <w:pPr>
        <w:pStyle w:val="BodyText"/>
        <w:spacing w:after="120" w:line="298" w:lineRule="auto"/>
      </w:pPr>
      <w:r>
        <w:t>Director - Admisión de pacientes, Grupo de trabajo de autorización financiera</w:t>
      </w:r>
    </w:p>
    <w:p w14:paraId="45FAF890" w14:textId="77777777" w:rsidR="00EB7B46" w:rsidRPr="00933C95" w:rsidRDefault="00415E62">
      <w:pPr>
        <w:pStyle w:val="BodyText"/>
        <w:spacing w:after="120" w:line="298" w:lineRule="auto"/>
      </w:pPr>
      <w:r>
        <w:t>Gerente asesor financiero, Grupo de trabajo de autorización financiera</w:t>
      </w:r>
    </w:p>
    <w:p w14:paraId="481E7777" w14:textId="77777777" w:rsidR="00EB7B46" w:rsidRPr="00933C95" w:rsidRDefault="00415E62">
      <w:pPr>
        <w:pStyle w:val="BodyText"/>
        <w:spacing w:after="120" w:line="298" w:lineRule="auto"/>
      </w:pPr>
      <w:r>
        <w:t>Director - Servicios financieros de pacientes, Grupo de trabajo de autorización financiera</w:t>
      </w:r>
    </w:p>
    <w:p w14:paraId="53D9F130" w14:textId="77777777" w:rsidR="00EB7B46" w:rsidRPr="00933C95" w:rsidRDefault="00415E62">
      <w:pPr>
        <w:pStyle w:val="BodyText"/>
        <w:spacing w:after="120" w:line="298" w:lineRule="auto"/>
      </w:pPr>
      <w:r>
        <w:t>Director asistente - Servicios financieros de pacientes, Grupo de trabajo de autorización financiera</w:t>
      </w:r>
    </w:p>
    <w:p w14:paraId="6B0699EC" w14:textId="77777777" w:rsidR="00EB7B46" w:rsidRPr="00933C95" w:rsidRDefault="00415E62">
      <w:pPr>
        <w:pStyle w:val="BodyText"/>
        <w:spacing w:after="120" w:line="298" w:lineRule="auto"/>
      </w:pPr>
      <w:r>
        <w:t>Director - Ciclo de ingresos de médicos, Grupo de trabajo de autorización financiera</w:t>
      </w:r>
    </w:p>
    <w:p w14:paraId="774BEA9E" w14:textId="77777777" w:rsidR="00EB7B46" w:rsidRPr="00933C95" w:rsidRDefault="00415E62">
      <w:pPr>
        <w:pStyle w:val="BodyText"/>
        <w:spacing w:after="120" w:line="298" w:lineRule="auto"/>
      </w:pPr>
      <w:r>
        <w:t>Controlador del Sistema de salud, Grupo de trabajo de autorización financiera</w:t>
      </w:r>
    </w:p>
    <w:p w14:paraId="3674A137" w14:textId="77777777" w:rsidR="00EB7B46" w:rsidRPr="00933C95" w:rsidRDefault="00415E62">
      <w:pPr>
        <w:pStyle w:val="BodyText"/>
        <w:spacing w:after="740" w:line="298" w:lineRule="auto"/>
      </w:pPr>
      <w:r>
        <w:t>Director - Servicios de ciclo de ingresos compartidos, Grupo de trabajo de autorización financiera</w:t>
      </w:r>
    </w:p>
    <w:p w14:paraId="33599186" w14:textId="2E99D50E" w:rsidR="00EB7B46" w:rsidRDefault="00415E62" w:rsidP="00BD5A41">
      <w:pPr>
        <w:pStyle w:val="Heading30"/>
        <w:keepNext/>
        <w:keepLines/>
        <w:spacing w:after="0"/>
      </w:pPr>
      <w:bookmarkStart w:id="71" w:name="bookmark71"/>
      <w:bookmarkStart w:id="72" w:name="bookmark72"/>
      <w:bookmarkStart w:id="73" w:name="bookmark73"/>
      <w:r>
        <w:t>Nota: Las políticas de The University of Kansas Health System se mantienen en medios electrónicos y están sujetas a cambios. Las copias impresas pueden no reflejar la política oficial actual.</w:t>
      </w:r>
      <w:bookmarkEnd w:id="71"/>
      <w:bookmarkEnd w:id="72"/>
      <w:bookmarkEnd w:id="73"/>
    </w:p>
    <w:p w14:paraId="5E8F3BB9" w14:textId="7DABC15E" w:rsidR="00BD5A41" w:rsidRDefault="00BD5A41" w:rsidP="00BD5A41">
      <w:pPr>
        <w:pStyle w:val="Heading30"/>
        <w:keepNext/>
        <w:keepLines/>
        <w:spacing w:after="0"/>
      </w:pPr>
    </w:p>
    <w:p w14:paraId="41263DB1" w14:textId="646763E0" w:rsidR="00BD5A41" w:rsidRDefault="00BD5A41" w:rsidP="00BD5A41">
      <w:pPr>
        <w:pStyle w:val="Heading30"/>
        <w:keepNext/>
        <w:keepLines/>
        <w:pBdr>
          <w:bottom w:val="single" w:sz="12" w:space="1" w:color="A6A6A6" w:themeColor="background1" w:themeShade="A6"/>
        </w:pBdr>
        <w:spacing w:after="0"/>
      </w:pPr>
    </w:p>
    <w:p w14:paraId="6D6F6429" w14:textId="77777777" w:rsidR="00BD5A41" w:rsidRDefault="00BD5A41" w:rsidP="00BD5A41">
      <w:pPr>
        <w:pStyle w:val="Heading30"/>
        <w:keepNext/>
        <w:keepLines/>
        <w:pBdr>
          <w:bottom w:val="single" w:sz="12" w:space="1" w:color="A6A6A6" w:themeColor="background1" w:themeShade="A6"/>
        </w:pBdr>
        <w:spacing w:after="0"/>
      </w:pPr>
    </w:p>
    <w:p w14:paraId="3C004F79" w14:textId="77777777" w:rsidR="00BD5A41" w:rsidRPr="00933C95" w:rsidRDefault="00BD5A41" w:rsidP="00BD5A41">
      <w:pPr>
        <w:pStyle w:val="Heading30"/>
        <w:keepNext/>
        <w:keepLines/>
        <w:spacing w:after="0"/>
      </w:pPr>
    </w:p>
    <w:p w14:paraId="0E3093A8" w14:textId="77777777" w:rsidR="00EB7B46" w:rsidRPr="00DC1F14" w:rsidRDefault="00415E62">
      <w:pPr>
        <w:pStyle w:val="Heading20"/>
        <w:keepNext/>
        <w:keepLines/>
        <w:spacing w:after="440"/>
        <w:ind w:hanging="200"/>
        <w:rPr>
          <w:sz w:val="30"/>
          <w:szCs w:val="30"/>
          <w:lang w:val="en-US"/>
        </w:rPr>
      </w:pPr>
      <w:bookmarkStart w:id="74" w:name="bookmark74"/>
      <w:bookmarkStart w:id="75" w:name="bookmark75"/>
      <w:bookmarkStart w:id="76" w:name="bookmark76"/>
      <w:r w:rsidRPr="00DC1F14">
        <w:rPr>
          <w:b w:val="0"/>
          <w:bCs w:val="0"/>
          <w:sz w:val="30"/>
          <w:szCs w:val="30"/>
          <w:lang w:val="en-US"/>
        </w:rPr>
        <w:t>Adjuntos</w:t>
      </w:r>
      <w:bookmarkEnd w:id="74"/>
      <w:bookmarkEnd w:id="75"/>
      <w:bookmarkEnd w:id="76"/>
    </w:p>
    <w:p w14:paraId="789D3C90" w14:textId="77777777" w:rsidR="00D25DD3" w:rsidRPr="00DC1F14" w:rsidRDefault="00415E62">
      <w:pPr>
        <w:pStyle w:val="BodyText"/>
        <w:spacing w:after="120" w:line="240" w:lineRule="auto"/>
        <w:ind w:hanging="200"/>
        <w:rPr>
          <w:color w:val="315594"/>
          <w:u w:val="single"/>
          <w:lang w:val="en-US"/>
        </w:rPr>
      </w:pPr>
      <w:r w:rsidRPr="00DC1F14">
        <w:rPr>
          <w:color w:val="315594"/>
          <w:u w:val="single"/>
          <w:lang w:val="en-US"/>
        </w:rPr>
        <w:t>MyHealth at Home Section Bad Debt Recognition Write-Off Request.pdf</w:t>
      </w:r>
    </w:p>
    <w:p w14:paraId="43296AC8" w14:textId="77777777" w:rsidR="00D25DD3" w:rsidRPr="00DC1F14" w:rsidRDefault="00D25DD3">
      <w:pPr>
        <w:rPr>
          <w:rFonts w:ascii="Arial" w:eastAsia="Arial" w:hAnsi="Arial" w:cs="Arial"/>
          <w:color w:val="315594"/>
          <w:sz w:val="20"/>
          <w:szCs w:val="20"/>
          <w:u w:val="single"/>
          <w:lang w:val="en-US"/>
        </w:rPr>
      </w:pPr>
      <w:r w:rsidRPr="00DC1F14">
        <w:rPr>
          <w:lang w:val="en-US"/>
        </w:rPr>
        <w:br w:type="page"/>
      </w:r>
    </w:p>
    <w:p w14:paraId="26F247E9" w14:textId="77777777" w:rsidR="00EB7B46" w:rsidRPr="00933C95" w:rsidRDefault="00415E62">
      <w:pPr>
        <w:pStyle w:val="Heading20"/>
        <w:keepNext/>
        <w:keepLines/>
        <w:spacing w:after="420"/>
        <w:rPr>
          <w:sz w:val="30"/>
          <w:szCs w:val="30"/>
        </w:rPr>
      </w:pPr>
      <w:bookmarkStart w:id="77" w:name="bookmark77"/>
      <w:bookmarkStart w:id="78" w:name="bookmark78"/>
      <w:bookmarkStart w:id="79" w:name="bookmark79"/>
      <w:r>
        <w:rPr>
          <w:b w:val="0"/>
          <w:bCs w:val="0"/>
          <w:color w:val="000000"/>
          <w:sz w:val="30"/>
          <w:szCs w:val="30"/>
        </w:rPr>
        <w:lastRenderedPageBreak/>
        <w:t>Firmas de aprobación</w:t>
      </w:r>
      <w:bookmarkEnd w:id="77"/>
      <w:bookmarkEnd w:id="78"/>
      <w:bookmarkEnd w:id="79"/>
    </w:p>
    <w:tbl>
      <w:tblPr>
        <w:tblOverlap w:val="never"/>
        <w:tblW w:w="0" w:type="auto"/>
        <w:tblLayout w:type="fixed"/>
        <w:tblCellMar>
          <w:left w:w="10" w:type="dxa"/>
          <w:right w:w="10" w:type="dxa"/>
        </w:tblCellMar>
        <w:tblLook w:val="0000" w:firstRow="0" w:lastRow="0" w:firstColumn="0" w:lastColumn="0" w:noHBand="0" w:noVBand="0"/>
      </w:tblPr>
      <w:tblGrid>
        <w:gridCol w:w="3053"/>
        <w:gridCol w:w="5981"/>
      </w:tblGrid>
      <w:tr w:rsidR="00EB7B46" w:rsidRPr="00933C95" w14:paraId="5413CED1" w14:textId="77777777">
        <w:trPr>
          <w:trHeight w:hRule="exact" w:val="2506"/>
        </w:trPr>
        <w:tc>
          <w:tcPr>
            <w:tcW w:w="3053" w:type="dxa"/>
            <w:shd w:val="clear" w:color="auto" w:fill="FFFFFF"/>
          </w:tcPr>
          <w:p w14:paraId="37BD7389" w14:textId="77777777" w:rsidR="00EB7B46" w:rsidRPr="00933C95" w:rsidRDefault="00415E62">
            <w:pPr>
              <w:pStyle w:val="Other0"/>
              <w:spacing w:after="0" w:line="240" w:lineRule="auto"/>
            </w:pPr>
            <w:r>
              <w:rPr>
                <w:b/>
                <w:bCs/>
                <w:color w:val="315594"/>
              </w:rPr>
              <w:t>Descripción del paso</w:t>
            </w:r>
          </w:p>
        </w:tc>
        <w:tc>
          <w:tcPr>
            <w:tcW w:w="5981" w:type="dxa"/>
            <w:shd w:val="clear" w:color="auto" w:fill="FFFFFF"/>
            <w:vAlign w:val="bottom"/>
          </w:tcPr>
          <w:p w14:paraId="7A0629F4" w14:textId="77777777" w:rsidR="00EB7B46" w:rsidRPr="00933C95" w:rsidRDefault="00415E62" w:rsidP="001F2B17">
            <w:pPr>
              <w:pStyle w:val="Other0"/>
              <w:tabs>
                <w:tab w:val="left" w:pos="5013"/>
              </w:tabs>
              <w:spacing w:after="360" w:line="240" w:lineRule="auto"/>
            </w:pPr>
            <w:r>
              <w:rPr>
                <w:b/>
                <w:bCs/>
                <w:color w:val="315594"/>
              </w:rPr>
              <w:t>Persona que aprueba</w:t>
            </w:r>
            <w:r>
              <w:rPr>
                <w:b/>
                <w:bCs/>
                <w:color w:val="315594"/>
              </w:rPr>
              <w:tab/>
              <w:t>Fecha</w:t>
            </w:r>
          </w:p>
          <w:p w14:paraId="59847804" w14:textId="77777777" w:rsidR="00EB7B46" w:rsidRPr="00933C95" w:rsidRDefault="00415E62" w:rsidP="001F2B17">
            <w:pPr>
              <w:pStyle w:val="Other0"/>
              <w:tabs>
                <w:tab w:val="left" w:pos="5013"/>
              </w:tabs>
              <w:spacing w:after="0" w:line="240" w:lineRule="auto"/>
            </w:pPr>
            <w:r>
              <w:rPr>
                <w:color w:val="516177"/>
              </w:rPr>
              <w:t xml:space="preserve">Jennifer Palmer: </w:t>
            </w:r>
            <w:r>
              <w:rPr>
                <w:color w:val="516177"/>
              </w:rPr>
              <w:tab/>
              <w:t>07/2024</w:t>
            </w:r>
          </w:p>
          <w:p w14:paraId="49FD0D64" w14:textId="77777777" w:rsidR="00EB7B46" w:rsidRPr="00933C95" w:rsidRDefault="00415E62" w:rsidP="001F2B17">
            <w:pPr>
              <w:pStyle w:val="Other0"/>
              <w:tabs>
                <w:tab w:val="left" w:pos="5013"/>
              </w:tabs>
              <w:spacing w:after="120" w:line="240" w:lineRule="auto"/>
            </w:pPr>
            <w:r>
              <w:rPr>
                <w:color w:val="516177"/>
              </w:rPr>
              <w:t>Administradora de la Política del Sistema de Salud</w:t>
            </w:r>
          </w:p>
          <w:p w14:paraId="0BF78A4D" w14:textId="77777777" w:rsidR="00EB7B46" w:rsidRPr="00933C95" w:rsidRDefault="00415E62" w:rsidP="001F2B17">
            <w:pPr>
              <w:pStyle w:val="Other0"/>
              <w:tabs>
                <w:tab w:val="left" w:pos="5013"/>
              </w:tabs>
              <w:spacing w:after="0" w:line="240" w:lineRule="auto"/>
            </w:pPr>
            <w:r>
              <w:rPr>
                <w:color w:val="516177"/>
              </w:rPr>
              <w:t>Douglas Gaston: SVP y</w:t>
            </w:r>
            <w:r>
              <w:rPr>
                <w:color w:val="516177"/>
              </w:rPr>
              <w:tab/>
              <w:t>07/2024</w:t>
            </w:r>
          </w:p>
          <w:p w14:paraId="32815EB3" w14:textId="77777777" w:rsidR="00EB7B46" w:rsidRPr="00933C95" w:rsidRDefault="00415E62" w:rsidP="001F2B17">
            <w:pPr>
              <w:pStyle w:val="Other0"/>
              <w:tabs>
                <w:tab w:val="left" w:pos="5013"/>
              </w:tabs>
              <w:spacing w:after="120" w:line="240" w:lineRule="auto"/>
            </w:pPr>
            <w:r>
              <w:rPr>
                <w:color w:val="516177"/>
              </w:rPr>
              <w:t>Director financiero</w:t>
            </w:r>
          </w:p>
          <w:p w14:paraId="281AD1BF" w14:textId="77777777" w:rsidR="00EB7B46" w:rsidRPr="00933C95" w:rsidRDefault="00415E62" w:rsidP="001F2B17">
            <w:pPr>
              <w:pStyle w:val="Other0"/>
              <w:tabs>
                <w:tab w:val="left" w:pos="5013"/>
              </w:tabs>
              <w:spacing w:after="0" w:line="240" w:lineRule="auto"/>
            </w:pPr>
            <w:r>
              <w:rPr>
                <w:color w:val="516177"/>
              </w:rPr>
              <w:t xml:space="preserve">Colette Lasack: VP, </w:t>
            </w:r>
            <w:r>
              <w:rPr>
                <w:color w:val="516177"/>
              </w:rPr>
              <w:tab/>
              <w:t>06/2024</w:t>
            </w:r>
          </w:p>
          <w:p w14:paraId="27ED4243" w14:textId="77777777" w:rsidR="00EB7B46" w:rsidRPr="00933C95" w:rsidRDefault="00415E62" w:rsidP="001F2B17">
            <w:pPr>
              <w:pStyle w:val="Other0"/>
              <w:spacing w:line="240" w:lineRule="auto"/>
            </w:pPr>
            <w:r>
              <w:rPr>
                <w:color w:val="516177"/>
              </w:rPr>
              <w:t>Operaciones del ciclo de ingresos</w:t>
            </w:r>
          </w:p>
        </w:tc>
      </w:tr>
    </w:tbl>
    <w:p w14:paraId="16F216E6" w14:textId="77777777" w:rsidR="00EB7B46" w:rsidRPr="00933C95" w:rsidRDefault="00EB7B46">
      <w:pPr>
        <w:spacing w:after="1339" w:line="1" w:lineRule="exact"/>
      </w:pPr>
    </w:p>
    <w:p w14:paraId="60652967" w14:textId="77777777" w:rsidR="00EB7B46" w:rsidRPr="00933C95" w:rsidRDefault="00415E62">
      <w:pPr>
        <w:pStyle w:val="Bodytext30"/>
      </w:pPr>
      <w:r>
        <w:t>COPIA</w:t>
      </w:r>
    </w:p>
    <w:sectPr w:rsidR="00EB7B46" w:rsidRPr="00933C95" w:rsidSect="001F2B17">
      <w:footerReference w:type="default" r:id="rId8"/>
      <w:type w:val="continuous"/>
      <w:pgSz w:w="12240" w:h="15840"/>
      <w:pgMar w:top="1306" w:right="996" w:bottom="1560" w:left="1269" w:header="878" w:footer="61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29DF0" w14:textId="77777777" w:rsidR="00C41BAA" w:rsidRDefault="00C41BAA">
      <w:r>
        <w:separator/>
      </w:r>
    </w:p>
  </w:endnote>
  <w:endnote w:type="continuationSeparator" w:id="0">
    <w:p w14:paraId="7DC00E55" w14:textId="77777777" w:rsidR="00C41BAA" w:rsidRDefault="00C4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3ABA" w14:textId="7B508B96" w:rsidR="00D25DD3" w:rsidRPr="005E085F" w:rsidRDefault="00D25DD3" w:rsidP="00D25DD3">
    <w:pPr>
      <w:pStyle w:val="Headerorfooter20"/>
      <w:rPr>
        <w:spacing w:val="-4"/>
      </w:rPr>
    </w:pPr>
    <w:r w:rsidRPr="005E085F">
      <w:rPr>
        <w:spacing w:val="-4"/>
        <w:sz w:val="17"/>
        <w:szCs w:val="17"/>
        <w:shd w:val="clear" w:color="auto" w:fill="FFFFFF"/>
      </w:rPr>
      <w:t>Cobros de pagos particulares. Obtenido 07/2024. Copia oficial en http://kumed.policystat.com/policy/16113967/. Copyright © 2024</w:t>
    </w:r>
    <w:r w:rsidRPr="005E085F">
      <w:rPr>
        <w:spacing w:val="-4"/>
        <w:sz w:val="17"/>
        <w:szCs w:val="17"/>
        <w:shd w:val="clear" w:color="auto" w:fill="FFFFFF"/>
      </w:rPr>
      <w:tab/>
    </w:r>
    <w:r w:rsidRPr="005E085F">
      <w:rPr>
        <w:spacing w:val="-4"/>
        <w:shd w:val="clear" w:color="auto" w:fill="FFFFFF"/>
      </w:rPr>
      <w:t xml:space="preserve">Página </w:t>
    </w:r>
    <w:r w:rsidRPr="005E085F">
      <w:rPr>
        <w:spacing w:val="-4"/>
      </w:rPr>
      <w:fldChar w:fldCharType="begin"/>
    </w:r>
    <w:r w:rsidRPr="005E085F">
      <w:rPr>
        <w:spacing w:val="-4"/>
      </w:rPr>
      <w:instrText xml:space="preserve"> PAGE \* MERGEFORMAT </w:instrText>
    </w:r>
    <w:r w:rsidRPr="005E085F">
      <w:rPr>
        <w:spacing w:val="-4"/>
      </w:rPr>
      <w:fldChar w:fldCharType="separate"/>
    </w:r>
    <w:r w:rsidR="00C8416E" w:rsidRPr="00C8416E">
      <w:rPr>
        <w:noProof/>
        <w:spacing w:val="-4"/>
        <w:shd w:val="clear" w:color="auto" w:fill="FFFFFF"/>
      </w:rPr>
      <w:t>6</w:t>
    </w:r>
    <w:r w:rsidRPr="005E085F">
      <w:rPr>
        <w:spacing w:val="-4"/>
        <w:shd w:val="clear" w:color="auto" w:fill="FFFFFF"/>
      </w:rPr>
      <w:fldChar w:fldCharType="end"/>
    </w:r>
    <w:r w:rsidRPr="005E085F">
      <w:rPr>
        <w:spacing w:val="-4"/>
        <w:shd w:val="clear" w:color="auto" w:fill="FFFFFF"/>
      </w:rPr>
      <w:t xml:space="preserve"> de 6</w:t>
    </w:r>
  </w:p>
  <w:p w14:paraId="59D6B06F" w14:textId="77777777" w:rsidR="00EB7B46" w:rsidRPr="00D25DD3" w:rsidRDefault="00D25DD3" w:rsidP="00D25DD3">
    <w:pPr>
      <w:pStyle w:val="Headerorfooter20"/>
      <w:rPr>
        <w:sz w:val="17"/>
        <w:szCs w:val="17"/>
      </w:rPr>
    </w:pPr>
    <w:r>
      <w:rPr>
        <w:sz w:val="17"/>
        <w:szCs w:val="17"/>
      </w:rPr>
      <w:t>The Univ of Kansas Hospital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5F6BB" w14:textId="77777777" w:rsidR="00C41BAA" w:rsidRDefault="00C41BAA"/>
  </w:footnote>
  <w:footnote w:type="continuationSeparator" w:id="0">
    <w:p w14:paraId="2B97BB3D" w14:textId="77777777" w:rsidR="00C41BAA" w:rsidRDefault="00C41B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5133F"/>
    <w:multiLevelType w:val="multilevel"/>
    <w:tmpl w:val="F4BED6E0"/>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60224"/>
    <w:multiLevelType w:val="multilevel"/>
    <w:tmpl w:val="782CCBB0"/>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055DBC"/>
    <w:multiLevelType w:val="multilevel"/>
    <w:tmpl w:val="5AACF8B2"/>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830E42"/>
    <w:multiLevelType w:val="multilevel"/>
    <w:tmpl w:val="6108CA94"/>
    <w:lvl w:ilvl="0">
      <w:start w:val="1"/>
      <w:numFmt w:val="upp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EB3400"/>
    <w:multiLevelType w:val="multilevel"/>
    <w:tmpl w:val="5510ABC2"/>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C141FF"/>
    <w:multiLevelType w:val="multilevel"/>
    <w:tmpl w:val="4B1C05AE"/>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855FF0"/>
    <w:multiLevelType w:val="multilevel"/>
    <w:tmpl w:val="A63CED50"/>
    <w:lvl w:ilvl="0">
      <w:start w:val="1"/>
      <w:numFmt w:val="upp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1549CB"/>
    <w:multiLevelType w:val="multilevel"/>
    <w:tmpl w:val="6804D4F0"/>
    <w:lvl w:ilvl="0">
      <w:start w:val="1"/>
      <w:numFmt w:val="upp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D20511"/>
    <w:multiLevelType w:val="multilevel"/>
    <w:tmpl w:val="0D62D816"/>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F41905"/>
    <w:multiLevelType w:val="multilevel"/>
    <w:tmpl w:val="FAD6704C"/>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9374384">
    <w:abstractNumId w:val="6"/>
  </w:num>
  <w:num w:numId="2" w16cid:durableId="626475497">
    <w:abstractNumId w:val="7"/>
  </w:num>
  <w:num w:numId="3" w16cid:durableId="34930747">
    <w:abstractNumId w:val="3"/>
  </w:num>
  <w:num w:numId="4" w16cid:durableId="1751390756">
    <w:abstractNumId w:val="0"/>
  </w:num>
  <w:num w:numId="5" w16cid:durableId="1663850063">
    <w:abstractNumId w:val="9"/>
  </w:num>
  <w:num w:numId="6" w16cid:durableId="670761930">
    <w:abstractNumId w:val="4"/>
  </w:num>
  <w:num w:numId="7" w16cid:durableId="1806850772">
    <w:abstractNumId w:val="5"/>
  </w:num>
  <w:num w:numId="8" w16cid:durableId="1761296145">
    <w:abstractNumId w:val="2"/>
  </w:num>
  <w:num w:numId="9" w16cid:durableId="1486580919">
    <w:abstractNumId w:val="1"/>
  </w:num>
  <w:num w:numId="10" w16cid:durableId="1162963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3MLO0MDe0NLY0NjNU0lEKTi0uzszPAykwrAUA52wErCwAAAA="/>
  </w:docVars>
  <w:rsids>
    <w:rsidRoot w:val="00EB7B46"/>
    <w:rsid w:val="001421D5"/>
    <w:rsid w:val="001F2B17"/>
    <w:rsid w:val="00290D85"/>
    <w:rsid w:val="002C1E66"/>
    <w:rsid w:val="003409F4"/>
    <w:rsid w:val="00415E62"/>
    <w:rsid w:val="00473256"/>
    <w:rsid w:val="00536427"/>
    <w:rsid w:val="005E085F"/>
    <w:rsid w:val="006D2EB7"/>
    <w:rsid w:val="00881BEC"/>
    <w:rsid w:val="00933C95"/>
    <w:rsid w:val="00950A4D"/>
    <w:rsid w:val="00BD5A41"/>
    <w:rsid w:val="00C41BAA"/>
    <w:rsid w:val="00C8416E"/>
    <w:rsid w:val="00CB1176"/>
    <w:rsid w:val="00D16986"/>
    <w:rsid w:val="00D25DD3"/>
    <w:rsid w:val="00DC1F14"/>
    <w:rsid w:val="00E575A9"/>
    <w:rsid w:val="00EB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6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s-MX"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Arial" w:eastAsia="Arial" w:hAnsi="Arial" w:cs="Arial"/>
      <w:b w:val="0"/>
      <w:bCs w:val="0"/>
      <w:i w:val="0"/>
      <w:iCs w:val="0"/>
      <w:smallCaps w:val="0"/>
      <w:strike w:val="0"/>
      <w:color w:val="182D4A"/>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color w:val="182D4A"/>
      <w:sz w:val="20"/>
      <w:szCs w:val="2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strike w:val="0"/>
      <w:color w:val="182D4A"/>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sz w:val="34"/>
      <w:szCs w:val="34"/>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color w:val="182D4A"/>
      <w:sz w:val="40"/>
      <w:szCs w:val="40"/>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182D4A"/>
      <w:sz w:val="15"/>
      <w:szCs w:val="15"/>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DDDDDD"/>
      <w:sz w:val="292"/>
      <w:szCs w:val="292"/>
      <w:u w:val="none"/>
      <w:shd w:val="clear" w:color="auto" w:fill="auto"/>
    </w:rPr>
  </w:style>
  <w:style w:type="paragraph" w:customStyle="1" w:styleId="Other0">
    <w:name w:val="Other"/>
    <w:basedOn w:val="Normal"/>
    <w:link w:val="Other"/>
    <w:pPr>
      <w:spacing w:after="60" w:line="286" w:lineRule="auto"/>
    </w:pPr>
    <w:rPr>
      <w:rFonts w:ascii="Arial" w:eastAsia="Arial" w:hAnsi="Arial" w:cs="Arial"/>
      <w:color w:val="182D4A"/>
      <w:sz w:val="20"/>
      <w:szCs w:val="20"/>
    </w:rPr>
  </w:style>
  <w:style w:type="paragraph" w:styleId="BodyText">
    <w:name w:val="Body Text"/>
    <w:basedOn w:val="Normal"/>
    <w:link w:val="BodyTextChar"/>
    <w:qFormat/>
    <w:pPr>
      <w:spacing w:after="60" w:line="286" w:lineRule="auto"/>
    </w:pPr>
    <w:rPr>
      <w:rFonts w:ascii="Arial" w:eastAsia="Arial" w:hAnsi="Arial" w:cs="Arial"/>
      <w:color w:val="182D4A"/>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line="216" w:lineRule="auto"/>
      <w:ind w:firstLine="310"/>
    </w:pPr>
    <w:rPr>
      <w:rFonts w:ascii="Arial" w:eastAsia="Arial" w:hAnsi="Arial" w:cs="Arial"/>
      <w:smallCaps/>
      <w:color w:val="182D4A"/>
    </w:rPr>
  </w:style>
  <w:style w:type="paragraph" w:customStyle="1" w:styleId="Heading10">
    <w:name w:val="Heading #1"/>
    <w:basedOn w:val="Normal"/>
    <w:link w:val="Heading1"/>
    <w:pPr>
      <w:spacing w:after="900"/>
      <w:jc w:val="center"/>
      <w:outlineLvl w:val="0"/>
    </w:pPr>
    <w:rPr>
      <w:rFonts w:ascii="Arial" w:eastAsia="Arial" w:hAnsi="Arial" w:cs="Arial"/>
      <w:b/>
      <w:bCs/>
      <w:sz w:val="34"/>
      <w:szCs w:val="34"/>
    </w:rPr>
  </w:style>
  <w:style w:type="paragraph" w:customStyle="1" w:styleId="Heading20">
    <w:name w:val="Heading #2"/>
    <w:basedOn w:val="Normal"/>
    <w:link w:val="Heading2"/>
    <w:pPr>
      <w:spacing w:after="130"/>
      <w:outlineLvl w:val="1"/>
    </w:pPr>
    <w:rPr>
      <w:rFonts w:ascii="Arial" w:eastAsia="Arial" w:hAnsi="Arial" w:cs="Arial"/>
      <w:b/>
      <w:bCs/>
      <w:color w:val="182D4A"/>
      <w:sz w:val="40"/>
      <w:szCs w:val="40"/>
    </w:rPr>
  </w:style>
  <w:style w:type="paragraph" w:customStyle="1" w:styleId="Heading30">
    <w:name w:val="Heading #3"/>
    <w:basedOn w:val="Normal"/>
    <w:link w:val="Heading3"/>
    <w:pPr>
      <w:spacing w:after="980" w:line="288" w:lineRule="auto"/>
      <w:outlineLvl w:val="2"/>
    </w:pPr>
    <w:rPr>
      <w:rFonts w:ascii="Arial" w:eastAsia="Arial" w:hAnsi="Arial" w:cs="Arial"/>
      <w:b/>
      <w:bCs/>
      <w:color w:val="182D4A"/>
      <w:sz w:val="15"/>
      <w:szCs w:val="15"/>
    </w:rPr>
  </w:style>
  <w:style w:type="paragraph" w:customStyle="1" w:styleId="Bodytext30">
    <w:name w:val="Body text (3)"/>
    <w:basedOn w:val="Normal"/>
    <w:link w:val="Bodytext3"/>
    <w:pPr>
      <w:spacing w:after="880"/>
      <w:ind w:right="660"/>
      <w:jc w:val="right"/>
    </w:pPr>
    <w:rPr>
      <w:rFonts w:ascii="Arial" w:eastAsia="Arial" w:hAnsi="Arial" w:cs="Arial"/>
      <w:color w:val="DDDDDD"/>
      <w:sz w:val="292"/>
      <w:szCs w:val="292"/>
    </w:rPr>
  </w:style>
  <w:style w:type="paragraph" w:styleId="Header">
    <w:name w:val="header"/>
    <w:basedOn w:val="Normal"/>
    <w:link w:val="HeaderChar"/>
    <w:uiPriority w:val="99"/>
    <w:unhideWhenUsed/>
    <w:rsid w:val="00D25DD3"/>
    <w:pPr>
      <w:tabs>
        <w:tab w:val="center" w:pos="4680"/>
        <w:tab w:val="right" w:pos="9360"/>
      </w:tabs>
    </w:pPr>
  </w:style>
  <w:style w:type="character" w:customStyle="1" w:styleId="HeaderChar">
    <w:name w:val="Header Char"/>
    <w:basedOn w:val="DefaultParagraphFont"/>
    <w:link w:val="Header"/>
    <w:uiPriority w:val="99"/>
    <w:rsid w:val="00D25DD3"/>
    <w:rPr>
      <w:color w:val="000000"/>
    </w:rPr>
  </w:style>
  <w:style w:type="paragraph" w:styleId="Footer">
    <w:name w:val="footer"/>
    <w:basedOn w:val="Normal"/>
    <w:link w:val="FooterChar"/>
    <w:uiPriority w:val="99"/>
    <w:unhideWhenUsed/>
    <w:rsid w:val="00D25DD3"/>
    <w:pPr>
      <w:tabs>
        <w:tab w:val="center" w:pos="4680"/>
        <w:tab w:val="right" w:pos="9360"/>
      </w:tabs>
    </w:pPr>
  </w:style>
  <w:style w:type="character" w:customStyle="1" w:styleId="FooterChar">
    <w:name w:val="Footer Char"/>
    <w:basedOn w:val="DefaultParagraphFont"/>
    <w:link w:val="Footer"/>
    <w:uiPriority w:val="99"/>
    <w:rsid w:val="00D25DD3"/>
    <w:rPr>
      <w:color w:val="000000"/>
    </w:rPr>
  </w:style>
  <w:style w:type="paragraph" w:styleId="Revision">
    <w:name w:val="Revision"/>
    <w:hidden/>
    <w:uiPriority w:val="99"/>
    <w:semiHidden/>
    <w:rsid w:val="003409F4"/>
    <w:pPr>
      <w:widowControl/>
    </w:pPr>
    <w:rPr>
      <w:color w:val="000000"/>
    </w:rPr>
  </w:style>
  <w:style w:type="paragraph" w:styleId="BalloonText">
    <w:name w:val="Balloon Text"/>
    <w:basedOn w:val="Normal"/>
    <w:link w:val="BalloonTextChar"/>
    <w:uiPriority w:val="99"/>
    <w:semiHidden/>
    <w:unhideWhenUsed/>
    <w:rsid w:val="00BD5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A4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9782</Characters>
  <Application>Microsoft Office Word</Application>
  <DocSecurity>0</DocSecurity>
  <Lines>81</Lines>
  <Paragraphs>22</Paragraphs>
  <ScaleCrop>false</ScaleCrop>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2024-07-17T16:28:00Z</dcterms:created>
  <dcterms:modified xsi:type="dcterms:W3CDTF">2024-07-17T16:28:00Z</dcterms:modified>
</cp:coreProperties>
</file>